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A701" w14:textId="17122135" w:rsidR="002A6029" w:rsidRPr="00D66A17" w:rsidRDefault="00184486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Propósito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30B6154A" w14:textId="54133C5C" w:rsidR="00934416" w:rsidRPr="004607B2" w:rsidRDefault="00184486" w:rsidP="004607B2">
      <w:pPr>
        <w:pStyle w:val="Default"/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objetivo de esta política es proporcionar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general y especializad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materia de salud, seguridad y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otros temas relacionados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los trabajadores de la granja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 Ley de Salud y Seguridad en el Trabajo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Occupational</w:t>
      </w:r>
      <w:proofErr w:type="spellEnd"/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 </w:t>
      </w:r>
      <w:proofErr w:type="spellStart"/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Health</w:t>
      </w:r>
      <w:proofErr w:type="spellEnd"/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 &amp; Safety </w:t>
      </w:r>
      <w:proofErr w:type="spellStart"/>
      <w:r w:rsidR="00531151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Act</w:t>
      </w:r>
      <w:proofErr w:type="spellEnd"/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(OHS)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exige a los empleadores que capaciten a sus trabajadores</w:t>
      </w:r>
      <w:r w:rsidR="000B44DF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al </w:t>
      </w:r>
      <w:r w:rsidR="001579B6" w:rsidRPr="005C66F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mismo tiempo que</w:t>
      </w:r>
      <w:r w:rsidR="000B44DF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los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trabajador</w:t>
      </w:r>
      <w:r w:rsidR="009344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B44DF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participen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002A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entrenamiento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 se 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le</w:t>
      </w:r>
      <w:r w:rsidR="009344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imparta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896FA3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begin"/>
      </w:r>
      <w:r w:rsidR="00896FA3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896FA3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separate"/>
      </w:r>
      <w:r w:rsidR="00831B58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t>&lt;&lt; NOMBRE DE LA GRANJA &gt;&gt;</w:t>
      </w:r>
      <w:r w:rsidR="00896FA3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end"/>
      </w:r>
      <w:r w:rsidR="00817AA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confirmará que cada trabajador t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enga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cualificaciones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salud y seguridad requeridas para el puesto que desempeñ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la granja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Las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cualificaciones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pueden incluir licencia 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conducir, WHMIS 2015 y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certificado de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primeros auxilio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estándar</w:t>
      </w:r>
      <w:r w:rsidR="001002A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nivel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CPR con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AED</w:t>
      </w:r>
      <w:r w:rsidR="001002A8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i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Otros requisitos pueden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necesitarse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dependiendo del desarrollo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del trabajador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cambio de </w:t>
      </w:r>
      <w:r w:rsidR="003E6C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puesto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01A21391" w14:textId="7AFF1D9D" w:rsidR="002A6029" w:rsidRPr="00D66A17" w:rsidRDefault="00184486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Política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545B9086" w14:textId="00FF6FDD" w:rsidR="00934416" w:rsidRPr="004607B2" w:rsidRDefault="00896FA3" w:rsidP="004607B2">
      <w:pPr>
        <w:pStyle w:val="Default"/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begin"/>
      </w:r>
      <w:r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instrText xml:space="preserve"> DOCPROPERTY  "Farm Name"  \* MERGEFORMAT </w:instrText>
      </w:r>
      <w:r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separate"/>
      </w:r>
      <w:r w:rsidR="00831B58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t>&lt;&lt; NOMBRE DE LA GRANJA &gt;&gt;</w:t>
      </w:r>
      <w:r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end"/>
      </w:r>
      <w:r w:rsidR="00817AA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puede proporcionar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 los nuevos trabajadores, contratistas y visitantes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quienes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participarán en tod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 el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materia de salud, seguridad y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otros temas relacionados</w:t>
      </w:r>
      <w:r w:rsidR="003E6C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necesari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os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para reducir al mínimo la pérdida de recursos humanos y físicos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 </w:t>
      </w:r>
      <w:r w:rsidR="001002A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rientación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para </w:t>
      </w:r>
      <w:r w:rsidR="001579B6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empleados y contratistas nuevos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 llevará a cabo antes de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 el trabajo comience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o antes de que el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empleado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empiece a trabajar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primer día o </w:t>
      </w:r>
      <w:r w:rsidR="001002A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antes de 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un contratista empiece un proyecto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2D538BD2" w14:textId="6BB624AD" w:rsidR="002A6029" w:rsidRPr="00D66A17" w:rsidRDefault="00184486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Entrenamiento y </w:t>
      </w:r>
      <w:r w:rsidR="00426971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ctualización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7927C4D6" w14:textId="45A9E40D" w:rsidR="002A6029" w:rsidRPr="00D66A17" w:rsidRDefault="00012E69" w:rsidP="00D66A17">
      <w:pPr>
        <w:pStyle w:val="Default"/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entrenamiento</w:t>
      </w:r>
      <w:r w:rsidR="0018448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/comunicación incluirá, pero no se limitará a</w:t>
      </w:r>
      <w:r w:rsidR="002A602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</w:p>
    <w:p w14:paraId="03E93F00" w14:textId="78ED4AB5" w:rsidR="00184486" w:rsidRPr="00D66A17" w:rsidRDefault="00184486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Orientaciones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sobre salud y seguridad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antes de comenzar el trabajo</w:t>
      </w:r>
    </w:p>
    <w:p w14:paraId="26229DF8" w14:textId="3F9AFB92" w:rsidR="00184486" w:rsidRPr="00D66A17" w:rsidRDefault="00F604FA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Proceso de 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evaluación y 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control de riesgos</w:t>
      </w:r>
    </w:p>
    <w:p w14:paraId="19130B10" w14:textId="672E995B" w:rsidR="00184486" w:rsidRPr="00D66A17" w:rsidRDefault="004A61FB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Reuniones sobre temas de seguridad - mensuales</w:t>
      </w:r>
    </w:p>
    <w:p w14:paraId="0A9C21BC" w14:textId="69C73D96" w:rsidR="00184486" w:rsidRPr="00D66A17" w:rsidRDefault="004A61FB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WHMIS 2015, si se expone o </w:t>
      </w:r>
      <w:r w:rsidR="00744AC4" w:rsidRP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 trabaja con productos químicos.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Actualizar cada 3 años</w:t>
      </w:r>
    </w:p>
    <w:p w14:paraId="22C6D043" w14:textId="18E42592" w:rsidR="00184486" w:rsidRPr="00D66A17" w:rsidRDefault="004A61FB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Primeros auxilios de emergencia o estándar nivel C al ser contratado.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Actualizar cada 3 años</w:t>
      </w:r>
    </w:p>
    <w:p w14:paraId="40305F33" w14:textId="44C7B88E" w:rsidR="00184486" w:rsidRPr="00D66A17" w:rsidRDefault="004A61FB" w:rsidP="00D66A17">
      <w:pPr>
        <w:pStyle w:val="Default"/>
        <w:numPr>
          <w:ilvl w:val="0"/>
          <w:numId w:val="1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Procedimientos de respuesta de emergencia - anualmente</w:t>
      </w:r>
    </w:p>
    <w:p w14:paraId="57C439F2" w14:textId="4082AFF0" w:rsidR="00934416" w:rsidRPr="004607B2" w:rsidRDefault="004A61FB" w:rsidP="004607B2">
      <w:pPr>
        <w:pStyle w:val="Default"/>
        <w:numPr>
          <w:ilvl w:val="0"/>
          <w:numId w:val="1"/>
        </w:numPr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Comunicación y equipo de respuesta de emergencia en la orientación y anualmente.</w:t>
      </w:r>
    </w:p>
    <w:p w14:paraId="34EB4761" w14:textId="0F58A234" w:rsidR="002A6029" w:rsidRPr="00D66A17" w:rsidRDefault="00184486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Competencia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795E6C5E" w14:textId="7BA45DFE" w:rsidR="004F7F66" w:rsidRDefault="00184486" w:rsidP="00D66A17">
      <w:pPr>
        <w:pStyle w:val="Default"/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Las evaluaciones de la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competencia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constituyen un medio eficaz para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proporcionar una herramienta de evaluación del </w:t>
      </w:r>
      <w:r w:rsidR="00520CD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desempeño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;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ofrecer un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continuo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sobre el </w:t>
      </w:r>
      <w:r w:rsidR="00520CD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desempeño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los trabajadores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;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reconocer el </w:t>
      </w:r>
      <w:r w:rsidR="00520CD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desempeño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ejemplar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satisfactorio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; </w:t>
      </w:r>
      <w:r w:rsidR="00DC543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identific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ar</w:t>
      </w:r>
      <w:r w:rsidR="00DC543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 deficiencias de rendimiento</w:t>
      </w:r>
      <w:r w:rsid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;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destacar las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capacidades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 requier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capacitación o práctica adicional y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establecer </w:t>
      </w:r>
      <w:r w:rsidR="004E14CC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referentes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para el </w:t>
      </w:r>
      <w:r w:rsidR="00520CD8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desempeño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los trabajadores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20F84D75" w14:textId="61148966" w:rsidR="005D1F57" w:rsidRPr="00D66A17" w:rsidRDefault="00184486" w:rsidP="004607B2">
      <w:pPr>
        <w:pStyle w:val="Default"/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nuevos trabajadores se someterán a pruebas de comp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etencia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se utilizará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 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ista de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v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erificación d</w:t>
      </w:r>
      <w:r w:rsidR="00012E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entrenamiento</w:t>
      </w:r>
      <w:r w:rsidR="00F604F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el 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puesto de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rabajo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 evaluar el nivel de destreza y conocimiento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tenga un trabajador en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tareas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específicas,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tales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como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operación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equipos,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uso de herramienta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tareas específica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mantenimiento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 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tareas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agrícolas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 posible que se requiera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demostraciones prácticas para completar la evaluación de la competencia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las cuales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se anotará en el </w:t>
      </w:r>
      <w:r w:rsidR="004E14CC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ormulario de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entrenamiento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el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trabajo</w:t>
      </w:r>
      <w:r w:rsidR="002A602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38450525" w14:textId="656C8DCA" w:rsidR="002A6029" w:rsidRPr="00D66A17" w:rsidRDefault="00DB5A95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Comunicación</w:t>
      </w:r>
      <w:r w:rsidR="00FE0535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C7D7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bidireccional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641E092B" w14:textId="6BE7F30E" w:rsidR="00934416" w:rsidRPr="00D66A17" w:rsidRDefault="00DB5A95" w:rsidP="004607B2">
      <w:pPr>
        <w:pStyle w:val="Default"/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 comunicación efectiva es una calle </w:t>
      </w:r>
      <w:r w:rsidR="008C69AE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 doble sentido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que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necesita un emisor y un receptor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Así como nos comunicamos verbalmente, también nos comunicamos </w:t>
      </w:r>
      <w:r w:rsidR="004A61F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sin palabras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Sea cual sea la forma en 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se transmit</w:t>
      </w:r>
      <w:r w:rsidR="005762BB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 el mensaje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es importante asegurarse de que haya un foro para que esta comunicaci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ón tenga lugar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Las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euniones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ensuales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sobre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temas de seguridad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son las que</w:t>
      </w:r>
      <w:r w:rsidR="00896FA3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896FA3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begin"/>
      </w:r>
      <w:r w:rsidR="00896FA3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instrText xml:space="preserve"> DOCPROPERTY  "Farm Name"  \* MERGEFORMAT </w:instrText>
      </w:r>
      <w:r w:rsidR="00896FA3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separate"/>
      </w:r>
      <w:r w:rsidR="00831B58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t xml:space="preserve">&lt;&lt; NOMBRE DE LA GRANJA </w:t>
      </w:r>
      <w:r w:rsidR="00831B58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lastRenderedPageBreak/>
        <w:t>&gt;&gt;</w:t>
      </w:r>
      <w:r w:rsidR="00896FA3" w:rsidRPr="004607B2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fldChar w:fldCharType="end"/>
      </w:r>
      <w:r w:rsidR="00817AAE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utiliza para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tener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una comunicación bidirecciona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15376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la que los peligros para la salud y la seguridad pueden ser explorados y discutidos.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 comunicación bidireccional se documen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tará en la hoja de</w:t>
      </w:r>
      <w:r w:rsid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ctas de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 reunión de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seguridad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, y </w:t>
      </w:r>
      <w:r w:rsid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las personas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que estuvier</w:t>
      </w:r>
      <w:r w:rsidR="00744AC4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presentes en la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reunión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seguridad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se documentarán en la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h</w:t>
      </w:r>
      <w:r w:rsidR="003A3984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oja de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asistencia de la </w:t>
      </w:r>
      <w:r w:rsidR="008C7D7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misma.</w:t>
      </w:r>
    </w:p>
    <w:p w14:paraId="4414BDB5" w14:textId="14604449" w:rsidR="005A18F0" w:rsidRPr="00D66A17" w:rsidRDefault="00FB4835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Evaluación del </w:t>
      </w:r>
      <w:r w:rsidR="00426971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d</w:t>
      </w: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esempeño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6F52B10D" w14:textId="3C645A98" w:rsidR="00934416" w:rsidRPr="004607B2" w:rsidRDefault="007D73BF" w:rsidP="004607B2">
      <w:pPr>
        <w:pStyle w:val="Default"/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desempeño individual en materia de salud y seguridad</w:t>
      </w:r>
      <w:r w:rsidR="004E14CC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de los trabajadores será evaluado </w:t>
      </w:r>
      <w:r w:rsidR="004E14CC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al menos una vez al año o al final de la temporada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FE05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propietario de la granja evaluará a cada trabajador</w:t>
      </w:r>
      <w:r w:rsidR="005A18F0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1F6D1F31" w14:textId="4B5B9F28" w:rsidR="002A6029" w:rsidRPr="00D66A17" w:rsidRDefault="00FB4835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Responsabilidades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5C032E55" w14:textId="0EC92E7F" w:rsidR="00FB4835" w:rsidRPr="00D66A17" w:rsidRDefault="00561E1D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B65A9C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Pr="00B65A9C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 w:rsidRPr="00B65A9C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="00831B58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&lt;&lt; </w:t>
      </w:r>
      <w:r w:rsidR="00831B58" w:rsidRPr="00831B58">
        <w:rPr>
          <w:rFonts w:ascii="Source Sans Pro Light" w:hAnsi="Source Sans Pro Light"/>
          <w:b w:val="0"/>
          <w:bCs/>
          <w:color w:val="auto"/>
          <w:sz w:val="22"/>
          <w:szCs w:val="22"/>
          <w:lang w:val="es-MX"/>
        </w:rPr>
        <w:t xml:space="preserve">NOMBRE DE LA GRANJA </w:t>
      </w:r>
      <w:r w:rsidR="00831B58">
        <w:rPr>
          <w:rFonts w:ascii="Source Sans Pro Light" w:hAnsi="Source Sans Pro Light"/>
          <w:color w:val="auto"/>
          <w:sz w:val="22"/>
          <w:szCs w:val="22"/>
          <w:lang w:val="es-MX"/>
        </w:rPr>
        <w:t>&gt;&gt;</w:t>
      </w:r>
      <w:r w:rsidRPr="00B65A9C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="00817AAE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puede asignar fondos </w:t>
      </w:r>
      <w:r w:rsidR="008C7D7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anualmente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para asegurar el entrenamiento relacionado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con la salud y la seguridad</w:t>
      </w:r>
      <w:r w:rsidR="008C7D7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01155C9B" w14:textId="76500705" w:rsidR="00FB4835" w:rsidRPr="00D66A17" w:rsidRDefault="003A3984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propietario de la granja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deberá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aplicar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una preevaluación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asegurar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 de que los trabajadores cuent</w:t>
      </w:r>
      <w:r w:rsidR="00561E1D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n con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las </w:t>
      </w:r>
      <w:r w:rsidR="0053115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cualificaciones</w:t>
      </w:r>
      <w:r w:rsidR="00211AF5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requeridas</w:t>
      </w:r>
      <w:r w:rsidR="008C7D7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antes de permitir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que laboren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sin supervisión.</w:t>
      </w:r>
    </w:p>
    <w:p w14:paraId="2B8E651A" w14:textId="485264B3" w:rsidR="00FB4835" w:rsidRPr="00D66A17" w:rsidRDefault="003A3984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propietario de la granja d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ebe confirmar que se ha llevado a cabo una orientación de seguridad con todos los empleados y contratistas </w:t>
      </w:r>
      <w:r w:rsidR="007D73BF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nuevos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antes de permitir que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las personas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trabajen en la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granja</w:t>
      </w:r>
      <w:r w:rsidR="00FB4835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10C9522B" w14:textId="24EAF61F" w:rsidR="00FB4835" w:rsidRPr="00D66A17" w:rsidRDefault="00FB4835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propietario de la granja debe llevar a cabo al menos una reunión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de seguridad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al mes y animar a los trabajadores a asistir y </w:t>
      </w:r>
      <w:r w:rsidR="00211AF5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participar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ella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1661F1AF" w14:textId="2A1799E1" w:rsidR="00FB4835" w:rsidRPr="00D66A17" w:rsidRDefault="004A7FBA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El propietario de la granja debe evaluar el desempeño de cada trabajador anualmente o al final de la temporada.</w:t>
      </w:r>
      <w:r w:rsidR="007D73BF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46818F4B" w14:textId="03CFF430" w:rsidR="00FB4835" w:rsidRPr="00D66A17" w:rsidRDefault="00FB4835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El propietario de la granja debe realizar evaluaciones de competencia antes de que los trabajadores </w:t>
      </w:r>
      <w:r w:rsidR="004A7FBA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laboren de manera</w:t>
      </w:r>
      <w:r w:rsidR="00F77E16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independiente.</w:t>
      </w:r>
    </w:p>
    <w:p w14:paraId="736301BA" w14:textId="64F0CB1E" w:rsidR="00FB4835" w:rsidRPr="00D66A17" w:rsidRDefault="00FB4835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trabajadores deben participar en todos los entrenamientos de salud, seguridad y </w:t>
      </w:r>
      <w:r w:rsidR="008C7D7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otros relacionados que se </w:t>
      </w:r>
      <w:r w:rsidR="00211AF5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les 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ofrezcan.</w:t>
      </w:r>
    </w:p>
    <w:p w14:paraId="38463E0C" w14:textId="39485EA8" w:rsidR="00FB4835" w:rsidRPr="00D66A17" w:rsidRDefault="00FB4835" w:rsidP="00D66A17">
      <w:pPr>
        <w:pStyle w:val="Default"/>
        <w:numPr>
          <w:ilvl w:val="0"/>
          <w:numId w:val="2"/>
        </w:numPr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trabajadores deben asistir y participar en las reuniones de </w:t>
      </w:r>
      <w:r w:rsidR="00080C93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seguridad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5141CB38" w14:textId="6324671E" w:rsidR="00934416" w:rsidRPr="004607B2" w:rsidRDefault="00FB4835" w:rsidP="004607B2">
      <w:pPr>
        <w:pStyle w:val="Default"/>
        <w:numPr>
          <w:ilvl w:val="0"/>
          <w:numId w:val="2"/>
        </w:numPr>
        <w:spacing w:before="20" w:after="12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deben asistir y participar en las evaluaciones de desempeño anual o al final de la temporada</w:t>
      </w:r>
      <w:r w:rsidR="002A602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B33161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</w:p>
    <w:p w14:paraId="3610B233" w14:textId="1CDEB907" w:rsidR="002A6029" w:rsidRPr="00D66A17" w:rsidRDefault="00AA6A69" w:rsidP="00D66A17">
      <w:pPr>
        <w:pStyle w:val="Default"/>
        <w:spacing w:before="20" w:after="5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Violaciones</w:t>
      </w:r>
      <w:r w:rsidR="002A6029" w:rsidRPr="00D66A17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7DF5AA34" w14:textId="53283955" w:rsidR="00080C93" w:rsidRPr="00D66A17" w:rsidRDefault="00080C93" w:rsidP="004607B2">
      <w:pPr>
        <w:rPr>
          <w:rFonts w:eastAsia="ヒラギノ角ゴ Pro W3"/>
        </w:rPr>
      </w:pPr>
      <w:r w:rsidRPr="00D66A17">
        <w:rPr>
          <w:rFonts w:eastAsia="ヒラギノ角ゴ Pro W3"/>
        </w:rPr>
        <w:t>Cualquier trabajador que viole esta política puede estar sujeto a la acción disciplinaria correspondiente</w:t>
      </w:r>
      <w:r w:rsidR="004E14CC" w:rsidRPr="00D66A17">
        <w:rPr>
          <w:rFonts w:eastAsia="ヒラギノ角ゴ Pro W3"/>
        </w:rPr>
        <w:t>.</w:t>
      </w:r>
    </w:p>
    <w:p w14:paraId="193A33EE" w14:textId="77777777" w:rsidR="005C66F7" w:rsidRDefault="005C66F7" w:rsidP="00D66A17">
      <w:pPr>
        <w:pStyle w:val="Default"/>
        <w:spacing w:before="20" w:after="50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2F0DE2BD" w14:textId="77777777" w:rsidR="00D66A17" w:rsidRPr="00D66A17" w:rsidRDefault="00D66A17" w:rsidP="00D66A17">
      <w:pPr>
        <w:pStyle w:val="Default"/>
        <w:spacing w:before="20" w:after="50"/>
        <w:rPr>
          <w:rFonts w:ascii="Source Sans Pro Light" w:hAnsi="Source Sans Pro Light"/>
          <w:b w:val="0"/>
          <w:color w:val="auto"/>
          <w:sz w:val="10"/>
          <w:szCs w:val="10"/>
          <w:lang w:val="es-MX"/>
        </w:rPr>
      </w:pPr>
    </w:p>
    <w:p w14:paraId="3932D847" w14:textId="24E6B992" w:rsidR="002A6029" w:rsidRPr="00D66A17" w:rsidRDefault="00AA6A69" w:rsidP="00D66A17">
      <w:pPr>
        <w:pStyle w:val="WW-Default"/>
        <w:spacing w:before="20" w:after="50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Firmado</w:t>
      </w:r>
      <w:r w:rsidR="002A602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</w:t>
      </w:r>
      <w:r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___________________________ Fecha</w:t>
      </w:r>
      <w:r w:rsidR="002A6029" w:rsidRPr="00D66A17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: _________________</w:t>
      </w:r>
    </w:p>
    <w:p w14:paraId="7AFE5C50" w14:textId="77777777" w:rsidR="00861FE0" w:rsidRPr="00D66A17" w:rsidRDefault="00861FE0" w:rsidP="00D66A17">
      <w:pPr>
        <w:pStyle w:val="WW-Default"/>
        <w:spacing w:before="20" w:after="50"/>
        <w:jc w:val="center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</w:p>
    <w:p w14:paraId="46A8427B" w14:textId="0694E216" w:rsidR="00D93FBE" w:rsidRPr="00D66A17" w:rsidRDefault="002A6029" w:rsidP="004607B2">
      <w:r w:rsidRPr="00D66A17">
        <w:t>*</w:t>
      </w:r>
      <w:r w:rsidR="004A7FBA" w:rsidRPr="00D66A17">
        <w:t>La información de seguridad de esta política debe utilizarse en conjunto con todas las leyes federales, provinciales y municipales aplicables</w:t>
      </w:r>
      <w:r w:rsidR="00F77E16" w:rsidRPr="00D66A17">
        <w:t>.</w:t>
      </w:r>
    </w:p>
    <w:sectPr w:rsidR="00D93FBE" w:rsidRPr="00D66A17" w:rsidSect="00D66A1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17F6" w14:textId="77777777" w:rsidR="00DF4039" w:rsidRDefault="00DF4039" w:rsidP="004607B2">
      <w:r>
        <w:separator/>
      </w:r>
    </w:p>
  </w:endnote>
  <w:endnote w:type="continuationSeparator" w:id="0">
    <w:p w14:paraId="4A519891" w14:textId="77777777" w:rsidR="00DF4039" w:rsidRDefault="00DF4039" w:rsidP="00460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7930" w14:textId="38EB3DE0" w:rsidR="00080C93" w:rsidRPr="004607B2" w:rsidRDefault="004607B2" w:rsidP="004607B2">
    <w:pPr>
      <w:spacing w:after="0"/>
      <w:jc w:val="both"/>
      <w:rPr>
        <w:b/>
        <w:bCs/>
        <w:sz w:val="18"/>
        <w:szCs w:val="18"/>
      </w:rPr>
    </w:pPr>
    <w:r w:rsidRPr="00850AD4">
      <w:rPr>
        <w:bCs/>
        <w:sz w:val="18"/>
        <w:szCs w:val="18"/>
      </w:rPr>
      <w:t xml:space="preserve">DESCARGO DE RESPONSABILIDAD: Este ejemplo de hoja de política es proporcionado por Farm Safety Nova </w:t>
    </w:r>
    <w:proofErr w:type="spellStart"/>
    <w:r w:rsidRPr="00850AD4">
      <w:rPr>
        <w:bCs/>
        <w:sz w:val="18"/>
        <w:szCs w:val="18"/>
      </w:rPr>
      <w:t>Scotia</w:t>
    </w:r>
    <w:proofErr w:type="spellEnd"/>
    <w:r w:rsidRPr="00850AD4">
      <w:rPr>
        <w:bCs/>
        <w:sz w:val="18"/>
        <w:szCs w:val="18"/>
      </w:rPr>
      <w:t xml:space="preserve"> como una visión general con fines informativos solamente. Los agricultores son responsables de modificar el </w:t>
    </w:r>
    <w:r>
      <w:rPr>
        <w:bCs/>
        <w:sz w:val="18"/>
        <w:szCs w:val="18"/>
      </w:rPr>
      <w:t>ejemplo para adaptarlo a cada granja</w:t>
    </w:r>
    <w:r w:rsidRPr="008B5337">
      <w:rPr>
        <w:bCs/>
        <w:sz w:val="18"/>
        <w:szCs w:val="18"/>
      </w:rPr>
      <w:t>.</w:t>
    </w:r>
    <w:r>
      <w:rPr>
        <w:b/>
        <w:bCs/>
        <w:sz w:val="18"/>
        <w:szCs w:val="18"/>
      </w:rPr>
      <w:t xml:space="preserve">  </w:t>
    </w:r>
    <w:r w:rsidR="00080C93" w:rsidRPr="00817AAE">
      <w:rPr>
        <w:lang w:eastAsia="en-CA"/>
      </w:rPr>
      <w:t>** En este documento se usó el masculino gramatical, que</w:t>
    </w:r>
    <w:r w:rsidR="00F77E16" w:rsidRPr="00817AAE">
      <w:rPr>
        <w:lang w:eastAsia="en-CA"/>
      </w:rPr>
      <w:t xml:space="preserve"> </w:t>
    </w:r>
    <w:r w:rsidR="00080C93" w:rsidRPr="00817AAE">
      <w:rPr>
        <w:lang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A663" w14:textId="77777777" w:rsidR="00DF4039" w:rsidRDefault="00DF4039" w:rsidP="004607B2">
      <w:r>
        <w:separator/>
      </w:r>
    </w:p>
  </w:footnote>
  <w:footnote w:type="continuationSeparator" w:id="0">
    <w:p w14:paraId="7E6B7205" w14:textId="77777777" w:rsidR="00DF4039" w:rsidRDefault="00DF4039" w:rsidP="00460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F373" w14:textId="70D4AACF" w:rsidR="0082634E" w:rsidRPr="004607B2" w:rsidRDefault="0082634E" w:rsidP="004607B2">
    <w:pPr>
      <w:pStyle w:val="Header"/>
      <w:rPr>
        <w:b/>
        <w:bCs/>
        <w:sz w:val="22"/>
        <w:szCs w:val="22"/>
      </w:rPr>
    </w:pPr>
    <w:r w:rsidRPr="004607B2">
      <w:rPr>
        <w:b/>
        <w:bCs/>
        <w:sz w:val="22"/>
        <w:szCs w:val="22"/>
      </w:rPr>
      <w:t>POLÍTICA DE ENTRENAMIENTO Y COMUNCIACIÓN</w:t>
    </w:r>
  </w:p>
  <w:p w14:paraId="28A54B83" w14:textId="3BB38242" w:rsidR="00D66A17" w:rsidRPr="004607B2" w:rsidRDefault="0082634E" w:rsidP="004607B2">
    <w:pPr>
      <w:pStyle w:val="Header"/>
      <w:rPr>
        <w:b/>
        <w:bCs/>
        <w:sz w:val="22"/>
        <w:szCs w:val="22"/>
      </w:rPr>
    </w:pPr>
    <w:r w:rsidRPr="004607B2">
      <w:rPr>
        <w:b/>
        <w:bCs/>
        <w:sz w:val="22"/>
        <w:szCs w:val="22"/>
      </w:rPr>
      <w:t>DE SALUD Y SEGURIDAD</w:t>
    </w:r>
    <w:r w:rsidR="001579B6" w:rsidRPr="004607B2">
      <w:rPr>
        <w:b/>
        <w:bCs/>
        <w:sz w:val="22"/>
        <w:szCs w:val="22"/>
      </w:rPr>
      <w:t xml:space="preserve"> DE</w:t>
    </w:r>
    <w:r w:rsidRPr="004607B2">
      <w:rPr>
        <w:b/>
        <w:bCs/>
        <w:sz w:val="22"/>
        <w:szCs w:val="22"/>
      </w:rPr>
      <w:t xml:space="preserve"> </w:t>
    </w:r>
    <w:r w:rsidR="00896FA3" w:rsidRPr="004607B2">
      <w:rPr>
        <w:b/>
        <w:bCs/>
        <w:sz w:val="22"/>
        <w:szCs w:val="22"/>
      </w:rPr>
      <w:fldChar w:fldCharType="begin"/>
    </w:r>
    <w:r w:rsidR="00896FA3" w:rsidRPr="004607B2">
      <w:rPr>
        <w:b/>
        <w:bCs/>
        <w:sz w:val="22"/>
        <w:szCs w:val="22"/>
      </w:rPr>
      <w:instrText xml:space="preserve"> DOCPROPERTY  "Farm Name"  \* MERGEFORMAT </w:instrText>
    </w:r>
    <w:r w:rsidR="00896FA3" w:rsidRPr="004607B2">
      <w:rPr>
        <w:b/>
        <w:bCs/>
        <w:sz w:val="22"/>
        <w:szCs w:val="22"/>
      </w:rPr>
      <w:fldChar w:fldCharType="separate"/>
    </w:r>
    <w:r w:rsidR="00831B58" w:rsidRPr="004607B2">
      <w:rPr>
        <w:b/>
        <w:bCs/>
        <w:sz w:val="22"/>
        <w:szCs w:val="22"/>
      </w:rPr>
      <w:t>&lt;&lt; NOMBRE DE LA GRANJA &gt;&gt;</w:t>
    </w:r>
    <w:r w:rsidR="00896FA3" w:rsidRPr="004607B2">
      <w:rPr>
        <w:b/>
        <w:bCs/>
        <w:sz w:val="22"/>
        <w:szCs w:val="22"/>
      </w:rPr>
      <w:fldChar w:fldCharType="end"/>
    </w:r>
    <w:r w:rsidR="00817AAE" w:rsidRPr="004607B2">
      <w:rPr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A1F15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2C8C"/>
    <w:multiLevelType w:val="hybridMultilevel"/>
    <w:tmpl w:val="7A5C91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029"/>
    <w:rsid w:val="00012E69"/>
    <w:rsid w:val="00017485"/>
    <w:rsid w:val="00043A9D"/>
    <w:rsid w:val="00050165"/>
    <w:rsid w:val="00080C93"/>
    <w:rsid w:val="000B44DF"/>
    <w:rsid w:val="000D3B81"/>
    <w:rsid w:val="000E1E99"/>
    <w:rsid w:val="001002A8"/>
    <w:rsid w:val="00153769"/>
    <w:rsid w:val="001579B6"/>
    <w:rsid w:val="00184486"/>
    <w:rsid w:val="001E34C9"/>
    <w:rsid w:val="00207268"/>
    <w:rsid w:val="00211AF5"/>
    <w:rsid w:val="0025032E"/>
    <w:rsid w:val="002A6029"/>
    <w:rsid w:val="002A7137"/>
    <w:rsid w:val="002F44FB"/>
    <w:rsid w:val="0033776B"/>
    <w:rsid w:val="00386760"/>
    <w:rsid w:val="00391E8E"/>
    <w:rsid w:val="003A3984"/>
    <w:rsid w:val="003E6CAE"/>
    <w:rsid w:val="00426971"/>
    <w:rsid w:val="00437CD6"/>
    <w:rsid w:val="00451538"/>
    <w:rsid w:val="004607B2"/>
    <w:rsid w:val="00494630"/>
    <w:rsid w:val="00497AE3"/>
    <w:rsid w:val="004A61FB"/>
    <w:rsid w:val="004A7FBA"/>
    <w:rsid w:val="004E14CC"/>
    <w:rsid w:val="004E4B21"/>
    <w:rsid w:val="004F6539"/>
    <w:rsid w:val="004F7F66"/>
    <w:rsid w:val="00520CD8"/>
    <w:rsid w:val="00531151"/>
    <w:rsid w:val="00535962"/>
    <w:rsid w:val="00561E1D"/>
    <w:rsid w:val="00567DFD"/>
    <w:rsid w:val="005762BB"/>
    <w:rsid w:val="005A18F0"/>
    <w:rsid w:val="005C66F7"/>
    <w:rsid w:val="005D1F57"/>
    <w:rsid w:val="0061716B"/>
    <w:rsid w:val="006252A0"/>
    <w:rsid w:val="006D0548"/>
    <w:rsid w:val="006F46D7"/>
    <w:rsid w:val="00744AC4"/>
    <w:rsid w:val="007A32D3"/>
    <w:rsid w:val="007D73BF"/>
    <w:rsid w:val="007E0FC5"/>
    <w:rsid w:val="00813BFC"/>
    <w:rsid w:val="00817AAE"/>
    <w:rsid w:val="0082634E"/>
    <w:rsid w:val="00831B58"/>
    <w:rsid w:val="008324F4"/>
    <w:rsid w:val="00861FE0"/>
    <w:rsid w:val="00896FA3"/>
    <w:rsid w:val="008C69AE"/>
    <w:rsid w:val="008C7D79"/>
    <w:rsid w:val="00934416"/>
    <w:rsid w:val="0094700B"/>
    <w:rsid w:val="0096031A"/>
    <w:rsid w:val="00997337"/>
    <w:rsid w:val="009D45B3"/>
    <w:rsid w:val="00A44BAA"/>
    <w:rsid w:val="00A813EE"/>
    <w:rsid w:val="00AA6A69"/>
    <w:rsid w:val="00B07B8B"/>
    <w:rsid w:val="00B2030D"/>
    <w:rsid w:val="00B33161"/>
    <w:rsid w:val="00B846AC"/>
    <w:rsid w:val="00B966E1"/>
    <w:rsid w:val="00B96AD6"/>
    <w:rsid w:val="00CA2618"/>
    <w:rsid w:val="00CC16B3"/>
    <w:rsid w:val="00CC2A4F"/>
    <w:rsid w:val="00CF4E60"/>
    <w:rsid w:val="00CF7A50"/>
    <w:rsid w:val="00D66A17"/>
    <w:rsid w:val="00D67146"/>
    <w:rsid w:val="00D93FBE"/>
    <w:rsid w:val="00DA0F3A"/>
    <w:rsid w:val="00DA1E7E"/>
    <w:rsid w:val="00DB5A95"/>
    <w:rsid w:val="00DB6447"/>
    <w:rsid w:val="00DC543E"/>
    <w:rsid w:val="00DC6390"/>
    <w:rsid w:val="00DF4039"/>
    <w:rsid w:val="00DF4AA3"/>
    <w:rsid w:val="00E040F4"/>
    <w:rsid w:val="00E65EC2"/>
    <w:rsid w:val="00E80990"/>
    <w:rsid w:val="00F254C9"/>
    <w:rsid w:val="00F500C5"/>
    <w:rsid w:val="00F604FA"/>
    <w:rsid w:val="00F74CDD"/>
    <w:rsid w:val="00F77E16"/>
    <w:rsid w:val="00F838AD"/>
    <w:rsid w:val="00FB4835"/>
    <w:rsid w:val="00FC757A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92E1F"/>
  <w15:docId w15:val="{DB9E275B-6B17-4CBB-BE67-E3CD5273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607B2"/>
    <w:pPr>
      <w:spacing w:before="20" w:after="50" w:line="240" w:lineRule="auto"/>
      <w:jc w:val="center"/>
    </w:pPr>
    <w:rPr>
      <w:rFonts w:eastAsia="Times New Roman" w:cs="Times New Roman"/>
      <w:bCs w:val="0"/>
      <w:sz w:val="20"/>
      <w:szCs w:val="20"/>
      <w:lang w:val="es-MX"/>
    </w:rPr>
  </w:style>
  <w:style w:type="paragraph" w:styleId="Heading1">
    <w:name w:val="heading 1"/>
    <w:basedOn w:val="Normal"/>
    <w:next w:val="Normal"/>
    <w:link w:val="Heading1Char"/>
    <w:qFormat/>
    <w:rsid w:val="002A6029"/>
    <w:pPr>
      <w:keepNext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6029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WW-Default">
    <w:name w:val="WW-Default"/>
    <w:rsid w:val="002A6029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kern w:val="1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71"/>
    <w:rPr>
      <w:rFonts w:ascii="Tahoma" w:eastAsia="Times New Roman" w:hAnsi="Tahoma" w:cs="Tahoma"/>
      <w:bCs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0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93"/>
    <w:rPr>
      <w:rFonts w:ascii="Times New Roman" w:eastAsia="Times New Roman" w:hAnsi="Times New Roman" w:cs="Times New Roman"/>
      <w:bCs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7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3BF"/>
    <w:rPr>
      <w:rFonts w:eastAsia="Times New Roman" w:cs="Times New Roman"/>
      <w:bCs w:val="0"/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3BF"/>
    <w:rPr>
      <w:rFonts w:eastAsia="Times New Roman" w:cs="Times New Roman"/>
      <w:b/>
      <w:bCs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2021-06-11T17:59:00Z</dcterms:created>
  <dcterms:modified xsi:type="dcterms:W3CDTF">2021-06-15T12:39:00Z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