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71DD" w:rsidRPr="00053116" w14:paraId="1CF63134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FF974" w14:textId="7AD8CC3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5D5B5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161B39B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7334DD97" w14:textId="6C33FA54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74B20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5A9BF9A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C283A88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4E25D8AD" w14:textId="06C140FC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732A613B" w14:textId="77777777" w:rsidR="00033C32" w:rsidRPr="007A3AFA" w:rsidRDefault="00033C32" w:rsidP="00033C32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94"/>
      </w:tblGrid>
      <w:tr w:rsidR="000B71DD" w:rsidRPr="00053116" w14:paraId="5522CA55" w14:textId="33AC03DB" w:rsidTr="00194258">
        <w:tc>
          <w:tcPr>
            <w:tcW w:w="3256" w:type="dxa"/>
          </w:tcPr>
          <w:p w14:paraId="758046A3" w14:textId="680A8678" w:rsidR="00C7072E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094" w:type="dxa"/>
          </w:tcPr>
          <w:p w14:paraId="531C4C80" w14:textId="77777777" w:rsidR="00C7072E" w:rsidRPr="00F25016" w:rsidRDefault="00C7072E" w:rsidP="00C7072E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Consulte la </w:t>
            </w:r>
            <w:r w:rsidR="004F4E43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h</w:t>
            </w:r>
            <w:r w:rsidR="00231309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oja de datos de seguridad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,</w:t>
            </w:r>
            <w:r w:rsidR="00626C6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="00626C68" w:rsidRPr="00F25016">
              <w:rPr>
                <w:rFonts w:ascii="Source Sans Pro Light" w:hAnsi="Source Sans Pro Light" w:cs="Calibri"/>
                <w:i/>
                <w:sz w:val="22"/>
                <w:szCs w:val="22"/>
                <w:lang w:val="es-MX"/>
              </w:rPr>
              <w:t xml:space="preserve">Safety Data </w:t>
            </w:r>
            <w:proofErr w:type="spellStart"/>
            <w:r w:rsidR="00626C68" w:rsidRPr="00F25016">
              <w:rPr>
                <w:rFonts w:ascii="Source Sans Pro Light" w:hAnsi="Source Sans Pro Light" w:cs="Calibri"/>
                <w:i/>
                <w:sz w:val="22"/>
                <w:szCs w:val="22"/>
                <w:lang w:val="es-MX"/>
              </w:rPr>
              <w:t>Sheet</w:t>
            </w:r>
            <w:proofErr w:type="spellEnd"/>
            <w:r w:rsidR="00626C68" w:rsidRPr="00F25016">
              <w:rPr>
                <w:rFonts w:ascii="Source Sans Pro Light" w:hAnsi="Source Sans Pro Light" w:cs="Calibri"/>
                <w:i/>
                <w:sz w:val="22"/>
                <w:szCs w:val="22"/>
                <w:lang w:val="es-MX"/>
              </w:rPr>
              <w:t xml:space="preserve"> </w:t>
            </w:r>
            <w:r w:rsidR="00626C6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(SDS por sus siglas en inglés)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para obtener información detallada sobre la salud y la seguridad del producto que se est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é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utilizando (por </w:t>
            </w:r>
            <w:proofErr w:type="gramStart"/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ejemplo</w:t>
            </w:r>
            <w:proofErr w:type="gramEnd"/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="00626C6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diésel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, gas).</w:t>
            </w:r>
          </w:p>
          <w:p w14:paraId="691CB954" w14:textId="39741C28" w:rsidR="00053116" w:rsidRPr="00F25016" w:rsidRDefault="00053116" w:rsidP="00C7072E">
            <w:pPr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053116" w14:paraId="2949EF47" w14:textId="1ABD4CC3" w:rsidTr="00194258">
        <w:tc>
          <w:tcPr>
            <w:tcW w:w="3256" w:type="dxa"/>
          </w:tcPr>
          <w:p w14:paraId="210DCBA3" w14:textId="1F0F4125" w:rsidR="009F65A9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F25016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F2501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F25016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F25016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094" w:type="dxa"/>
          </w:tcPr>
          <w:p w14:paraId="7FAF9D11" w14:textId="2EF01293" w:rsidR="00830120" w:rsidRPr="00F25016" w:rsidRDefault="009F65A9" w:rsidP="00C7072E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Este procedimiento se aplica al </w:t>
            </w:r>
            <w:r w:rsidR="001363A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recargar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cualquier vehículo, equipo o máquina que utilice gasolina o combustible diésel</w:t>
            </w:r>
            <w:r w:rsidR="001363A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,</w:t>
            </w:r>
            <w:r w:rsidR="009F0CE5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y debe seguirse para asegurar que el equipo se re</w:t>
            </w:r>
            <w:r w:rsidR="00351AB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cargue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de manera segura y saludable.</w:t>
            </w:r>
          </w:p>
          <w:p w14:paraId="6B3689D0" w14:textId="19A535BC" w:rsidR="00053116" w:rsidRPr="00F25016" w:rsidRDefault="00053116" w:rsidP="00C7072E">
            <w:pPr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053116" w14:paraId="7D9AD0A8" w14:textId="11977E9B" w:rsidTr="00194258">
        <w:tc>
          <w:tcPr>
            <w:tcW w:w="3256" w:type="dxa"/>
          </w:tcPr>
          <w:p w14:paraId="256A6469" w14:textId="0329C205" w:rsidR="009F65A9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094" w:type="dxa"/>
          </w:tcPr>
          <w:p w14:paraId="4D00E3E0" w14:textId="70F598BD" w:rsidR="009F65A9" w:rsidRPr="00F25016" w:rsidRDefault="009F65A9" w:rsidP="00C7072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Fuego/explosión </w:t>
            </w:r>
          </w:p>
          <w:p w14:paraId="3632E6B6" w14:textId="020AB8D5" w:rsidR="009F65A9" w:rsidRPr="00F25016" w:rsidRDefault="009F65A9" w:rsidP="00C7072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Inhalación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de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vapores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tóxicos</w:t>
            </w:r>
            <w:proofErr w:type="spellEnd"/>
          </w:p>
          <w:p w14:paraId="7B4F2A51" w14:textId="77777777" w:rsidR="009F65A9" w:rsidRPr="00F25016" w:rsidRDefault="009F65A9" w:rsidP="00C7072E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 w:cs="Calibri"/>
                <w:smallCaps/>
                <w:sz w:val="22"/>
                <w:szCs w:val="22"/>
              </w:rPr>
            </w:pP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Derrames</w:t>
            </w:r>
            <w:proofErr w:type="spellEnd"/>
          </w:p>
          <w:p w14:paraId="7BE0B9DA" w14:textId="686106FA" w:rsidR="00830120" w:rsidRPr="00F25016" w:rsidRDefault="00830120" w:rsidP="00830120">
            <w:pPr>
              <w:pStyle w:val="ListParagraph"/>
              <w:ind w:left="360"/>
              <w:rPr>
                <w:rFonts w:ascii="Source Sans Pro Light" w:hAnsi="Source Sans Pro Light" w:cs="Calibri"/>
                <w:smallCaps/>
                <w:sz w:val="22"/>
                <w:szCs w:val="22"/>
              </w:rPr>
            </w:pPr>
          </w:p>
        </w:tc>
      </w:tr>
      <w:tr w:rsidR="000B71DD" w:rsidRPr="00053116" w14:paraId="53D9243E" w14:textId="70E97F08" w:rsidTr="00194258">
        <w:tc>
          <w:tcPr>
            <w:tcW w:w="3256" w:type="dxa"/>
          </w:tcPr>
          <w:p w14:paraId="3527D312" w14:textId="2DABBAFA" w:rsidR="009F65A9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094" w:type="dxa"/>
          </w:tcPr>
          <w:p w14:paraId="0DFD91AE" w14:textId="04BDC36F" w:rsidR="00BC5821" w:rsidRPr="00F25016" w:rsidRDefault="00C75A86" w:rsidP="00BC5821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Aprobado por</w:t>
            </w:r>
            <w:r w:rsidR="0094246C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="00BC5821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CSA:</w:t>
            </w:r>
          </w:p>
          <w:p w14:paraId="7D57D342" w14:textId="708D6774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Guantes no desechables resistentes a productos químicos (opcional)</w:t>
            </w:r>
          </w:p>
          <w:p w14:paraId="2D50936C" w14:textId="2E24BACE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Respirador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(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opcional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)</w:t>
            </w:r>
          </w:p>
          <w:p w14:paraId="4F69E3DC" w14:textId="7BC6B86F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Gafas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de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seguridad</w:t>
            </w:r>
            <w:proofErr w:type="spellEnd"/>
          </w:p>
          <w:p w14:paraId="48BB4E17" w14:textId="53E6BB01" w:rsidR="009F65A9" w:rsidRPr="00F25016" w:rsidRDefault="009F65A9" w:rsidP="000B71DD">
            <w:pPr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053116" w14:paraId="34D01D77" w14:textId="265425CF" w:rsidTr="00194258">
        <w:tc>
          <w:tcPr>
            <w:tcW w:w="3256" w:type="dxa"/>
          </w:tcPr>
          <w:p w14:paraId="6B68F6C7" w14:textId="5BE1FCAE" w:rsidR="009F65A9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094" w:type="dxa"/>
          </w:tcPr>
          <w:p w14:paraId="331684B8" w14:textId="77777777" w:rsidR="009F65A9" w:rsidRPr="00F25016" w:rsidRDefault="009F65A9" w:rsidP="00626C68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Entrenamiento por el dueño de la granja en el lugar de trabajo</w:t>
            </w:r>
          </w:p>
          <w:p w14:paraId="053B4A59" w14:textId="119E7EBA" w:rsidR="00830120" w:rsidRPr="00F25016" w:rsidRDefault="00830120" w:rsidP="00830120">
            <w:pPr>
              <w:pStyle w:val="ListParagraph"/>
              <w:ind w:left="360"/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053116" w14:paraId="0B599053" w14:textId="367C8960" w:rsidTr="00194258">
        <w:tc>
          <w:tcPr>
            <w:tcW w:w="3256" w:type="dxa"/>
          </w:tcPr>
          <w:p w14:paraId="0C3293B7" w14:textId="245F3CE1" w:rsidR="009F65A9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094" w:type="dxa"/>
          </w:tcPr>
          <w:p w14:paraId="6235BB1E" w14:textId="57850476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Siga las etiquetas de </w:t>
            </w:r>
            <w:r w:rsidR="009A2423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advertencia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publicadas</w:t>
            </w:r>
          </w:p>
          <w:p w14:paraId="01EE59A5" w14:textId="77777777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Lea y siga la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hoja de datos de seguridad</w:t>
            </w:r>
          </w:p>
          <w:p w14:paraId="62AEED7B" w14:textId="31DE6E42" w:rsidR="00830120" w:rsidRPr="00F25016" w:rsidRDefault="00830120" w:rsidP="00830120">
            <w:pPr>
              <w:pStyle w:val="ListParagraph"/>
              <w:ind w:left="36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</w:p>
        </w:tc>
      </w:tr>
      <w:tr w:rsidR="000B71DD" w:rsidRPr="00053116" w14:paraId="77A3198D" w14:textId="7270C893" w:rsidTr="00194258">
        <w:tc>
          <w:tcPr>
            <w:tcW w:w="3256" w:type="dxa"/>
          </w:tcPr>
          <w:p w14:paraId="67CE7D20" w14:textId="05F95033" w:rsidR="009F65A9" w:rsidRPr="00F25016" w:rsidRDefault="007D164E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094" w:type="dxa"/>
          </w:tcPr>
          <w:p w14:paraId="1E606B52" w14:textId="42C77C91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Botiquín</w:t>
            </w:r>
            <w:proofErr w:type="spellEnd"/>
            <w:r w:rsidR="000B71DD"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de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primeros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auxilios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</w:t>
            </w:r>
          </w:p>
          <w:p w14:paraId="7401D9CA" w14:textId="7AD0021D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Extintor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de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incendios</w:t>
            </w:r>
            <w:proofErr w:type="spellEnd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 </w:t>
            </w:r>
          </w:p>
          <w:p w14:paraId="060D12A6" w14:textId="18EDFB10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Teléfono móvil o radio de dos vías</w:t>
            </w:r>
          </w:p>
          <w:p w14:paraId="74E615D6" w14:textId="77777777" w:rsidR="009F65A9" w:rsidRPr="00F25016" w:rsidRDefault="009F65A9" w:rsidP="00C7072E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 w:cs="Calibri"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 xml:space="preserve">Kit de </w:t>
            </w:r>
            <w:proofErr w:type="spellStart"/>
            <w:r w:rsidRPr="00F25016">
              <w:rPr>
                <w:rFonts w:ascii="Source Sans Pro Light" w:hAnsi="Source Sans Pro Light" w:cs="Calibri"/>
                <w:sz w:val="22"/>
                <w:szCs w:val="22"/>
              </w:rPr>
              <w:t>derrame</w:t>
            </w:r>
            <w:proofErr w:type="spellEnd"/>
          </w:p>
          <w:p w14:paraId="6BCB9800" w14:textId="7CC55745" w:rsidR="00830120" w:rsidRPr="00F25016" w:rsidRDefault="00830120" w:rsidP="00830120">
            <w:pPr>
              <w:pStyle w:val="ListParagraph"/>
              <w:ind w:left="360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</w:tr>
      <w:tr w:rsidR="000B71DD" w:rsidRPr="00053116" w14:paraId="187A26DC" w14:textId="77777777" w:rsidTr="00C8370A">
        <w:tc>
          <w:tcPr>
            <w:tcW w:w="9350" w:type="dxa"/>
            <w:gridSpan w:val="2"/>
          </w:tcPr>
          <w:p w14:paraId="50FB5910" w14:textId="0363F08B" w:rsidR="009F65A9" w:rsidRPr="00F25016" w:rsidRDefault="009F65A9" w:rsidP="0094246C">
            <w:pPr>
              <w:spacing w:afterLines="60" w:after="144" w:line="276" w:lineRule="auto"/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  <w:t>Procedimiento:</w:t>
            </w:r>
          </w:p>
          <w:p w14:paraId="2FCDD055" w14:textId="50566AD3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El equipo de </w:t>
            </w:r>
            <w:r w:rsidR="00351AB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recarga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debe estar en una zona designada y bien ventilada.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="00BC5821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Siempre que sea posible, e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vite el abastecimiento móvil de combustible.</w:t>
            </w:r>
          </w:p>
          <w:p w14:paraId="05BE132A" w14:textId="7B006441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Conduzca cerca de las bombas de combustible, pero no más cerca de 1 metro (3 pies).</w:t>
            </w:r>
          </w:p>
          <w:p w14:paraId="67F1F444" w14:textId="0723DD58" w:rsidR="009F65A9" w:rsidRPr="00F25016" w:rsidRDefault="00351AB0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Siempre que sea posible, e</w:t>
            </w:r>
            <w:r w:rsidR="009F65A9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stacione el equipo en un terreno plano. </w:t>
            </w:r>
          </w:p>
          <w:p w14:paraId="4834D5E1" w14:textId="089E6CBD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lastRenderedPageBreak/>
              <w:t>Apag</w:t>
            </w:r>
            <w:r w:rsidR="00BC5821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ue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el motor o el equipo.</w:t>
            </w:r>
          </w:p>
          <w:p w14:paraId="2DFDF846" w14:textId="2BF239A0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Nunca quite la tapa del combustible o recargue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con el motor en marcha o caliente.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Deje que el motor del equipo de mano se enfríe antes de quitar la tapa del combustible o de </w:t>
            </w:r>
            <w:r w:rsidR="00BC5821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recargar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lo</w:t>
            </w:r>
            <w:r w:rsidR="00473443" w:rsidRPr="00F25016">
              <w:rPr>
                <w:rFonts w:ascii="Source Sans Pro Light" w:hAnsi="Source Sans Pro Light" w:cs="Calibri"/>
                <w:sz w:val="18"/>
                <w:szCs w:val="18"/>
                <w:lang w:val="es-MX"/>
              </w:rPr>
              <w:t>.</w:t>
            </w:r>
          </w:p>
          <w:p w14:paraId="032A5F9D" w14:textId="720B3D8B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No fume mientras carg</w:t>
            </w:r>
            <w:r w:rsidR="00473443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ue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combustible en el equipo.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Evite todas las fuentes de ignición.</w:t>
            </w:r>
          </w:p>
          <w:p w14:paraId="0BA2B6C5" w14:textId="1C16F8E0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Asegúrese de que el combustible sea del tipo adecuado para el equipo.</w:t>
            </w:r>
          </w:p>
          <w:p w14:paraId="7C4A67E6" w14:textId="1E6DB6D3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Mantenga el control de la boquilla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o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tubo de llenado de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l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combustible.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No abandone el área de recarga de combustible hasta que se haya terminado </w:t>
            </w:r>
            <w:r w:rsidR="00BC5821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de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re</w:t>
            </w:r>
            <w:r w:rsidR="00351AB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abastecer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.</w:t>
            </w:r>
          </w:p>
          <w:p w14:paraId="4D80EC90" w14:textId="41F06B8E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No llene al máximo los depósitos de combustible.</w:t>
            </w:r>
          </w:p>
          <w:p w14:paraId="66003158" w14:textId="53116585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No permita que los depósitos de combustible se desborden o que se derrame combustible. Llene lentamente los pequeños depósitos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(como los de las cortadoras de césped, OHV) para evitar que se derrame el combustible.</w:t>
            </w:r>
          </w:p>
          <w:p w14:paraId="32FD84BA" w14:textId="4F803E02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Si recarga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="001363A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combustible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desde un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contenedor:</w:t>
            </w:r>
          </w:p>
          <w:p w14:paraId="384F432E" w14:textId="3B53E142" w:rsidR="009F65A9" w:rsidRPr="00F25016" w:rsidRDefault="009F65A9" w:rsidP="0094246C">
            <w:pPr>
              <w:pStyle w:val="ListParagraph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Use sólo u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n contenedor a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probad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o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para contener gasolina o diésel</w:t>
            </w:r>
          </w:p>
          <w:p w14:paraId="53D0FEEC" w14:textId="3444EBF1" w:rsidR="009F65A9" w:rsidRPr="00F25016" w:rsidRDefault="009F65A9" w:rsidP="0094246C">
            <w:pPr>
              <w:pStyle w:val="ListParagraph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Llene lentamente y escuche el aire que sal</w:t>
            </w:r>
            <w:r w:rsidR="00473443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ga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de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l contenedor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a medida 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en la que</w:t>
            </w:r>
            <w:r w:rsidR="0094246C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l combustible entra.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A medida </w:t>
            </w:r>
            <w:r w:rsidR="00866390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en la que el contenedor se </w:t>
            </w:r>
            <w:r w:rsidR="00CE27EF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vaya llenado,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el aire saldrá más rápido, y el tono será más alto.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Deténgase antes de que el tanque esté lleno. </w:t>
            </w:r>
          </w:p>
          <w:p w14:paraId="13D07AF4" w14:textId="6F2B2B60" w:rsidR="009F65A9" w:rsidRPr="00F25016" w:rsidRDefault="009F65A9" w:rsidP="0094246C">
            <w:pPr>
              <w:pStyle w:val="ListParagraph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Deje un 5 por ciento vacío para permitir la expansión del combustible.</w:t>
            </w:r>
          </w:p>
          <w:p w14:paraId="38F2F132" w14:textId="3B5EA11B" w:rsidR="009F65A9" w:rsidRPr="00F25016" w:rsidRDefault="009F65A9" w:rsidP="0094246C">
            <w:pPr>
              <w:pStyle w:val="ListParagraph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Cuando el tanque esté lleno, deje que la boquilla se drene durante unos segundos antes de retirarla de</w:t>
            </w:r>
            <w:r w:rsidR="0062173B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l punto de </w:t>
            </w:r>
            <w:r w:rsidR="001363A8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re</w:t>
            </w:r>
            <w:r w:rsidR="0062173B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carga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para evitar goteo.</w:t>
            </w:r>
          </w:p>
          <w:p w14:paraId="6386B7F8" w14:textId="228876EC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Asegúrese de que la boquilla esté vacía antes de retirar</w:t>
            </w:r>
            <w:r w:rsidR="0062173B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la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del tanque.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</w:p>
          <w:p w14:paraId="424C87D9" w14:textId="38C2E7F6" w:rsidR="009F65A9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Asegúrese de que el tapón esté bien apretado después de re</w:t>
            </w:r>
            <w:r w:rsidR="008D1AFC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cargar</w:t>
            </w: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.</w:t>
            </w:r>
          </w:p>
          <w:p w14:paraId="53525455" w14:textId="173FAC1A" w:rsidR="009A2423" w:rsidRPr="00F25016" w:rsidRDefault="009F65A9" w:rsidP="0094246C">
            <w:pPr>
              <w:pStyle w:val="ListParagraph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Si se pierde el tapón original del tanque de combustible, comuníquese con su supervisor.</w:t>
            </w:r>
          </w:p>
        </w:tc>
      </w:tr>
      <w:tr w:rsidR="009F65A9" w:rsidRPr="00053116" w14:paraId="369370A3" w14:textId="7F62C161" w:rsidTr="00194258">
        <w:tc>
          <w:tcPr>
            <w:tcW w:w="3256" w:type="dxa"/>
          </w:tcPr>
          <w:p w14:paraId="7BB3AA26" w14:textId="1164794A" w:rsidR="009F65A9" w:rsidRPr="00F25016" w:rsidRDefault="009F65A9" w:rsidP="00C7072E">
            <w:pPr>
              <w:rPr>
                <w:rFonts w:ascii="Source Sans Pro Light" w:hAnsi="Source Sans Pro Light" w:cs="Calibri"/>
                <w:b/>
                <w:bCs/>
                <w:smallCaps/>
                <w:sz w:val="22"/>
                <w:szCs w:val="22"/>
              </w:rPr>
            </w:pPr>
            <w:r w:rsidRPr="00F25016">
              <w:rPr>
                <w:rFonts w:ascii="Source Sans Pro Light" w:hAnsi="Source Sans Pro Light" w:cs="Calibri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094" w:type="dxa"/>
          </w:tcPr>
          <w:p w14:paraId="0BEE3CBA" w14:textId="77777777" w:rsidR="0094246C" w:rsidRPr="00F25016" w:rsidRDefault="009F65A9" w:rsidP="007A3AFA">
            <w:pPr>
              <w:spacing w:line="276" w:lineRule="auto"/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Si se derrama combustible, utilice el equipo de limpieza de derrames que se encuentra en la zona de almacenamiento de combustible y póngase en contacto con el personal apropiado.</w:t>
            </w:r>
            <w:r w:rsidR="000B71DD"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 </w:t>
            </w:r>
          </w:p>
          <w:p w14:paraId="0AA19C8E" w14:textId="4D9C6E08" w:rsidR="009F65A9" w:rsidRPr="00F25016" w:rsidRDefault="009F65A9" w:rsidP="007A3AFA">
            <w:pPr>
              <w:spacing w:line="276" w:lineRule="auto"/>
              <w:rPr>
                <w:rFonts w:ascii="Source Sans Pro Light" w:hAnsi="Source Sans Pro Light" w:cs="Calibri"/>
                <w:smallCaps/>
                <w:sz w:val="22"/>
                <w:szCs w:val="22"/>
                <w:lang w:val="es-MX"/>
              </w:rPr>
            </w:pPr>
            <w:r w:rsidRPr="00F25016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En caso de un gran derrame, llame al 1-800-565-1633.</w:t>
            </w:r>
          </w:p>
        </w:tc>
      </w:tr>
    </w:tbl>
    <w:p w14:paraId="77E490E4" w14:textId="74121A1A" w:rsidR="005F0B85" w:rsidRPr="0094246C" w:rsidRDefault="005F0B85" w:rsidP="00194258">
      <w:pPr>
        <w:rPr>
          <w:rFonts w:ascii="Source Sans Pro Light" w:hAnsi="Source Sans Pro Light"/>
          <w:sz w:val="22"/>
          <w:szCs w:val="22"/>
          <w:lang w:val="es-MX"/>
        </w:rPr>
      </w:pPr>
    </w:p>
    <w:sectPr w:rsidR="005F0B85" w:rsidRPr="0094246C" w:rsidSect="00033C32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AFE7" w14:textId="77777777" w:rsidR="008D653E" w:rsidRDefault="008D653E" w:rsidP="00033C32">
      <w:pPr>
        <w:spacing w:line="240" w:lineRule="auto"/>
      </w:pPr>
      <w:r>
        <w:separator/>
      </w:r>
    </w:p>
  </w:endnote>
  <w:endnote w:type="continuationSeparator" w:id="0">
    <w:p w14:paraId="383E0D15" w14:textId="77777777" w:rsidR="008D653E" w:rsidRDefault="008D653E" w:rsidP="00033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7421" w14:textId="200FA655" w:rsidR="00033C32" w:rsidRPr="007A3AFA" w:rsidRDefault="00033C32" w:rsidP="002D323D">
    <w:pPr>
      <w:spacing w:line="240" w:lineRule="auto"/>
      <w:rPr>
        <w:rFonts w:asciiTheme="majorHAnsi" w:hAnsiTheme="majorHAnsi" w:cstheme="majorHAnsi"/>
        <w:bCs/>
        <w:sz w:val="18"/>
        <w:szCs w:val="18"/>
        <w:lang w:val="es-MX"/>
      </w:rPr>
    </w:pPr>
  </w:p>
  <w:p w14:paraId="27428BFD" w14:textId="66C70F2D" w:rsidR="009F65A9" w:rsidRPr="007A3AFA" w:rsidRDefault="009F65A9" w:rsidP="002D323D">
    <w:pPr>
      <w:spacing w:line="240" w:lineRule="auto"/>
      <w:rPr>
        <w:rFonts w:asciiTheme="majorHAnsi" w:hAnsiTheme="majorHAnsi" w:cstheme="majorHAnsi"/>
        <w:sz w:val="18"/>
        <w:szCs w:val="18"/>
        <w:lang w:val="es-MX" w:eastAsia="en-CA"/>
      </w:rPr>
    </w:pPr>
    <w:r w:rsidRPr="007A3AFA">
      <w:rPr>
        <w:rFonts w:asciiTheme="majorHAnsi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7A3AFA">
      <w:rPr>
        <w:rFonts w:asciiTheme="majorHAnsi" w:hAnsiTheme="majorHAnsi" w:cstheme="majorHAnsi"/>
        <w:sz w:val="18"/>
        <w:szCs w:val="18"/>
        <w:lang w:val="es-MX" w:eastAsia="en-CA"/>
      </w:rPr>
      <w:br/>
      <w:t>** En este documento se usó el masculino gramatical, que</w:t>
    </w:r>
    <w:r w:rsidR="0094246C" w:rsidRPr="007A3AFA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7A3AFA">
      <w:rPr>
        <w:rFonts w:asciiTheme="majorHAnsi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8536" w14:textId="77777777" w:rsidR="008D653E" w:rsidRDefault="008D653E" w:rsidP="00033C32">
      <w:pPr>
        <w:spacing w:line="240" w:lineRule="auto"/>
      </w:pPr>
      <w:r>
        <w:separator/>
      </w:r>
    </w:p>
  </w:footnote>
  <w:footnote w:type="continuationSeparator" w:id="0">
    <w:p w14:paraId="4E0769F5" w14:textId="77777777" w:rsidR="008D653E" w:rsidRDefault="008D653E" w:rsidP="00033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9689" w14:textId="77777777" w:rsidR="004F4E43" w:rsidRDefault="00C7072E" w:rsidP="000B71DD">
    <w:pPr>
      <w:pStyle w:val="Header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C7072E">
      <w:rPr>
        <w:rFonts w:ascii="Source Sans Pro Light" w:hAnsi="Source Sans Pro Light"/>
        <w:b/>
        <w:bCs/>
        <w:smallCaps/>
        <w:lang w:val="es-MX"/>
      </w:rPr>
      <w:t>PROCEDIMIENTO DE RE</w:t>
    </w:r>
    <w:r w:rsidR="009F65A9">
      <w:rPr>
        <w:rFonts w:ascii="Source Sans Pro Light" w:hAnsi="Source Sans Pro Light"/>
        <w:b/>
        <w:bCs/>
        <w:smallCaps/>
        <w:lang w:val="es-MX"/>
      </w:rPr>
      <w:t>CARGA</w:t>
    </w:r>
    <w:r w:rsidRPr="00C7072E">
      <w:rPr>
        <w:rFonts w:ascii="Source Sans Pro Light" w:hAnsi="Source Sans Pro Light"/>
        <w:b/>
        <w:bCs/>
        <w:smallCaps/>
        <w:lang w:val="es-MX"/>
      </w:rPr>
      <w:t xml:space="preserve"> DE COMBUSTIBLE</w:t>
    </w:r>
    <w:r w:rsidRPr="00C7072E">
      <w:rPr>
        <w:rFonts w:ascii="Source Sans Pro Light" w:hAnsi="Source Sans Pro Light"/>
        <w:b/>
        <w:bCs/>
        <w:caps/>
        <w:lang w:val="es-MX"/>
      </w:rPr>
      <w:t xml:space="preserve"> </w:t>
    </w:r>
  </w:p>
  <w:p w14:paraId="0F0048B6" w14:textId="12982767" w:rsidR="00033C32" w:rsidRPr="00C7072E" w:rsidRDefault="00726A88" w:rsidP="000B71DD">
    <w:pPr>
      <w:pStyle w:val="Header"/>
      <w:spacing w:line="276" w:lineRule="auto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de </w:t>
    </w:r>
    <w:r w:rsidR="00F25016">
      <w:rPr>
        <w:rFonts w:ascii="Source Sans Pro Light" w:hAnsi="Source Sans Pro Light"/>
        <w:b/>
        <w:bCs/>
        <w:smallCaps/>
        <w:lang w:val="es-MX"/>
      </w:rPr>
      <w:fldChar w:fldCharType="begin"/>
    </w:r>
    <w:r w:rsidR="00F25016">
      <w:rPr>
        <w:rFonts w:ascii="Source Sans Pro Light" w:hAnsi="Source Sans Pro Light"/>
        <w:b/>
        <w:bCs/>
        <w:smallCaps/>
        <w:lang w:val="es-MX"/>
      </w:rPr>
      <w:instrText xml:space="preserve"> DOCPROPERTY  "Farm Name"  \* MERGEFORMAT </w:instrText>
    </w:r>
    <w:r w:rsidR="00F25016">
      <w:rPr>
        <w:rFonts w:ascii="Source Sans Pro Light" w:hAnsi="Source Sans Pro Light"/>
        <w:b/>
        <w:bCs/>
        <w:smallCaps/>
        <w:lang w:val="es-MX"/>
      </w:rPr>
      <w:fldChar w:fldCharType="separate"/>
    </w:r>
    <w:r w:rsidR="00F25016">
      <w:rPr>
        <w:rFonts w:ascii="Source Sans Pro Light" w:hAnsi="Source Sans Pro Light"/>
        <w:b/>
        <w:bCs/>
        <w:smallCaps/>
        <w:lang w:val="es-MX"/>
      </w:rPr>
      <w:t>&lt;&lt; NOMBRE DE LA GRANJA &gt;&gt;</w:t>
    </w:r>
    <w:r w:rsidR="00F25016">
      <w:rPr>
        <w:rFonts w:ascii="Source Sans Pro Light" w:hAnsi="Source Sans Pro Light"/>
        <w:b/>
        <w:bCs/>
        <w:smallCaps/>
        <w:lang w:val="es-MX"/>
      </w:rPr>
      <w:fldChar w:fldCharType="end"/>
    </w:r>
  </w:p>
  <w:p w14:paraId="18F22D49" w14:textId="77777777" w:rsidR="00033C32" w:rsidRPr="00C7072E" w:rsidRDefault="00033C32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05"/>
    <w:multiLevelType w:val="hybridMultilevel"/>
    <w:tmpl w:val="83DC31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2AF3"/>
    <w:multiLevelType w:val="hybridMultilevel"/>
    <w:tmpl w:val="CEB45696"/>
    <w:lvl w:ilvl="0" w:tplc="47A27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721E"/>
    <w:multiLevelType w:val="hybridMultilevel"/>
    <w:tmpl w:val="66AA2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C32"/>
    <w:rsid w:val="000017C9"/>
    <w:rsid w:val="00033C32"/>
    <w:rsid w:val="00053116"/>
    <w:rsid w:val="00053A08"/>
    <w:rsid w:val="00062B43"/>
    <w:rsid w:val="000867F6"/>
    <w:rsid w:val="00092F7A"/>
    <w:rsid w:val="000B71DD"/>
    <w:rsid w:val="000D1BD3"/>
    <w:rsid w:val="001363A8"/>
    <w:rsid w:val="00150DBC"/>
    <w:rsid w:val="00194258"/>
    <w:rsid w:val="001B2D29"/>
    <w:rsid w:val="001D3D38"/>
    <w:rsid w:val="002042F8"/>
    <w:rsid w:val="00204486"/>
    <w:rsid w:val="00231309"/>
    <w:rsid w:val="002475F8"/>
    <w:rsid w:val="00267CD4"/>
    <w:rsid w:val="00272990"/>
    <w:rsid w:val="002A2C7D"/>
    <w:rsid w:val="002B3C99"/>
    <w:rsid w:val="002D323D"/>
    <w:rsid w:val="002E41D5"/>
    <w:rsid w:val="00351AB0"/>
    <w:rsid w:val="0039003E"/>
    <w:rsid w:val="003E5EC0"/>
    <w:rsid w:val="00427A42"/>
    <w:rsid w:val="00437AC0"/>
    <w:rsid w:val="00473443"/>
    <w:rsid w:val="0049109A"/>
    <w:rsid w:val="004943D0"/>
    <w:rsid w:val="00494620"/>
    <w:rsid w:val="004A6B57"/>
    <w:rsid w:val="004F4E43"/>
    <w:rsid w:val="005251EA"/>
    <w:rsid w:val="005B4A64"/>
    <w:rsid w:val="005B7CCD"/>
    <w:rsid w:val="005D5B5E"/>
    <w:rsid w:val="005F0B85"/>
    <w:rsid w:val="005F2AD2"/>
    <w:rsid w:val="00604949"/>
    <w:rsid w:val="006111A3"/>
    <w:rsid w:val="0062173B"/>
    <w:rsid w:val="00626C68"/>
    <w:rsid w:val="00691169"/>
    <w:rsid w:val="00704FF1"/>
    <w:rsid w:val="00726A88"/>
    <w:rsid w:val="0073376A"/>
    <w:rsid w:val="00746503"/>
    <w:rsid w:val="007A3AFA"/>
    <w:rsid w:val="007D164E"/>
    <w:rsid w:val="008062ED"/>
    <w:rsid w:val="00830120"/>
    <w:rsid w:val="008662A7"/>
    <w:rsid w:val="00866390"/>
    <w:rsid w:val="008C4FBE"/>
    <w:rsid w:val="008D1AFC"/>
    <w:rsid w:val="008D653E"/>
    <w:rsid w:val="00900F7B"/>
    <w:rsid w:val="0094246C"/>
    <w:rsid w:val="009A2423"/>
    <w:rsid w:val="009E4A8B"/>
    <w:rsid w:val="009F0CE5"/>
    <w:rsid w:val="009F65A9"/>
    <w:rsid w:val="00A12F68"/>
    <w:rsid w:val="00A53802"/>
    <w:rsid w:val="00A752A1"/>
    <w:rsid w:val="00A870F9"/>
    <w:rsid w:val="00AA51FC"/>
    <w:rsid w:val="00B07BFE"/>
    <w:rsid w:val="00B34261"/>
    <w:rsid w:val="00B5131B"/>
    <w:rsid w:val="00BC3EE3"/>
    <w:rsid w:val="00BC5821"/>
    <w:rsid w:val="00BD6624"/>
    <w:rsid w:val="00BE38CA"/>
    <w:rsid w:val="00C062C3"/>
    <w:rsid w:val="00C7072E"/>
    <w:rsid w:val="00C75A86"/>
    <w:rsid w:val="00CE27EF"/>
    <w:rsid w:val="00CF37AE"/>
    <w:rsid w:val="00E30D09"/>
    <w:rsid w:val="00E35A41"/>
    <w:rsid w:val="00F11C4E"/>
    <w:rsid w:val="00F25016"/>
    <w:rsid w:val="00F50CFA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1B24"/>
  <w15:docId w15:val="{21BDD1E6-6A89-4B1D-91CE-3D1B6B8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32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32"/>
    <w:pPr>
      <w:ind w:left="720"/>
      <w:contextualSpacing/>
    </w:pPr>
  </w:style>
  <w:style w:type="paragraph" w:customStyle="1" w:styleId="MainTitle">
    <w:name w:val="Main Title"/>
    <w:basedOn w:val="Normal"/>
    <w:link w:val="MainTitleChar"/>
    <w:qFormat/>
    <w:rsid w:val="00033C32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033C32"/>
    <w:rPr>
      <w:rFonts w:ascii="Calibri" w:eastAsia="Times New Roman" w:hAnsi="Calibri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3C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32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C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32"/>
    <w:rPr>
      <w:rFonts w:ascii="Calibri" w:eastAsia="Times New Roman" w:hAnsi="Calibri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FF1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4F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F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D3D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D2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cp:lastPrinted>2019-09-18T14:00:00Z</cp:lastPrinted>
  <dcterms:created xsi:type="dcterms:W3CDTF">2021-06-11T17:14:00Z</dcterms:created>
  <dcterms:modified xsi:type="dcterms:W3CDTF">2021-06-14T18:18:00Z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