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2765" w14:textId="77777777" w:rsidR="00603FE8" w:rsidRPr="00340B04" w:rsidRDefault="00603FE8">
      <w:pPr>
        <w:rPr>
          <w:sz w:val="22"/>
          <w:szCs w:val="22"/>
        </w:rPr>
      </w:pPr>
    </w:p>
    <w:tbl>
      <w:tblPr>
        <w:tblStyle w:val="TableGrid"/>
        <w:tblpPr w:leftFromText="180" w:rightFromText="180" w:horzAnchor="margin" w:tblpY="30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1485" w:rsidRPr="00340B04" w14:paraId="50D9AF21" w14:textId="77777777" w:rsidTr="00FE5B04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846EE" w14:textId="77777777" w:rsidR="006774A9" w:rsidRPr="00340B04" w:rsidRDefault="006774A9" w:rsidP="00B546AA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40B0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340B0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1775CA37" w14:textId="77777777" w:rsidR="006774A9" w:rsidRPr="00340B04" w:rsidRDefault="006774A9" w:rsidP="00B546AA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1CDB6AD6" w14:textId="77777777" w:rsidR="006774A9" w:rsidRPr="00340B04" w:rsidRDefault="006774A9" w:rsidP="00B546AA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40B0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340B0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E58D4" w14:textId="77777777" w:rsidR="006774A9" w:rsidRPr="00340B04" w:rsidRDefault="006774A9" w:rsidP="00B546A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DC2829F" w14:textId="77777777" w:rsidR="006774A9" w:rsidRPr="00340B04" w:rsidRDefault="006774A9" w:rsidP="00B546A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C7D0CB8" w14:textId="77777777" w:rsidR="006774A9" w:rsidRPr="00340B04" w:rsidRDefault="006774A9" w:rsidP="00B546A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231DFF59" w14:textId="053DAAD9" w:rsidR="00603FE8" w:rsidRPr="00340B04" w:rsidRDefault="00603FE8" w:rsidP="00B546A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7054FE4C" w14:textId="77777777" w:rsidR="00FE5B04" w:rsidRPr="00340B04" w:rsidRDefault="00FE5B04" w:rsidP="00EC0D59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31485" w:rsidRPr="00340B04" w14:paraId="08EE072D" w14:textId="44D2EE5A" w:rsidTr="00431034">
        <w:tc>
          <w:tcPr>
            <w:tcW w:w="2689" w:type="dxa"/>
          </w:tcPr>
          <w:p w14:paraId="73290D3E" w14:textId="1E2FC698" w:rsidR="006774A9" w:rsidRPr="00254B40" w:rsidRDefault="00340B04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661" w:type="dxa"/>
          </w:tcPr>
          <w:p w14:paraId="6B0EC078" w14:textId="5F042288" w:rsidR="003873CA" w:rsidRPr="00254B40" w:rsidRDefault="00831485" w:rsidP="008D5CC7">
            <w:pPr>
              <w:pStyle w:val="ListParagraph"/>
              <w:numPr>
                <w:ilvl w:val="0"/>
                <w:numId w:val="10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6774A9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arte 6</w:t>
            </w:r>
            <w:r w:rsidR="00297C0D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las </w:t>
            </w:r>
            <w:r w:rsidR="00AA487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97C0D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egulaciones generales de salud y seguridad ocupacional</w:t>
            </w:r>
            <w:r w:rsidR="00AA487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297C0D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82528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OHS</w:t>
            </w:r>
            <w:r w:rsidR="00B1193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831485" w:rsidRPr="00340B04" w14:paraId="4BE5B2C1" w14:textId="2FFAAA44" w:rsidTr="00431034">
        <w:tc>
          <w:tcPr>
            <w:tcW w:w="2689" w:type="dxa"/>
          </w:tcPr>
          <w:p w14:paraId="2E96025F" w14:textId="055EB2CA" w:rsidR="00297C0D" w:rsidRPr="00254B40" w:rsidRDefault="00340B04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254B4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254B40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254B4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254B40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254B40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661" w:type="dxa"/>
          </w:tcPr>
          <w:p w14:paraId="3E62B11E" w14:textId="75B234A8" w:rsidR="003873CA" w:rsidRPr="00254B40" w:rsidRDefault="00297C0D" w:rsidP="0083148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Este procedimiento debe seguirse cuando se realice el mantenimiento o la reparación de equipos que puedan ponerse en marcha o activarse durante el mantenimiento o la reparación.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Cualquier equipo cercano al que se esté trabajando, también debe ser bloqueado si el hecho de </w:t>
            </w:r>
            <w:r w:rsidR="001819E6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tenga energía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puede resultar </w:t>
            </w:r>
            <w:r w:rsidR="001819E6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un peligro.</w:t>
            </w:r>
          </w:p>
        </w:tc>
      </w:tr>
      <w:tr w:rsidR="00831485" w:rsidRPr="00340B04" w14:paraId="3D9894C6" w14:textId="372DC786" w:rsidTr="00431034">
        <w:tc>
          <w:tcPr>
            <w:tcW w:w="2689" w:type="dxa"/>
          </w:tcPr>
          <w:p w14:paraId="44E91A09" w14:textId="4846D023" w:rsidR="009B3160" w:rsidRPr="00254B40" w:rsidRDefault="00340B04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661" w:type="dxa"/>
          </w:tcPr>
          <w:p w14:paraId="165A057B" w14:textId="7BFB2E05" w:rsidR="009B3160" w:rsidRPr="00340B04" w:rsidRDefault="009B3160" w:rsidP="006774A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40B04">
              <w:rPr>
                <w:rFonts w:ascii="Source Sans Pro Light" w:hAnsi="Source Sans Pro Light"/>
                <w:sz w:val="22"/>
                <w:szCs w:val="22"/>
              </w:rPr>
              <w:t>Lesiones</w:t>
            </w:r>
            <w:proofErr w:type="spellEnd"/>
            <w:r w:rsidRPr="00340B04">
              <w:rPr>
                <w:rFonts w:ascii="Source Sans Pro Light" w:hAnsi="Source Sans Pro Light"/>
                <w:sz w:val="22"/>
                <w:szCs w:val="22"/>
              </w:rPr>
              <w:t xml:space="preserve"> por </w:t>
            </w:r>
            <w:proofErr w:type="spellStart"/>
            <w:r w:rsidRPr="00340B04">
              <w:rPr>
                <w:rFonts w:ascii="Source Sans Pro Light" w:hAnsi="Source Sans Pro Light"/>
                <w:sz w:val="22"/>
                <w:szCs w:val="22"/>
              </w:rPr>
              <w:t>aplastamiento</w:t>
            </w:r>
            <w:proofErr w:type="spellEnd"/>
            <w:r w:rsidRPr="00340B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690FB41" w14:textId="129A2815" w:rsidR="009B3160" w:rsidRPr="00340B04" w:rsidRDefault="009B3160" w:rsidP="006774A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40B04">
              <w:rPr>
                <w:rFonts w:ascii="Source Sans Pro Light" w:hAnsi="Source Sans Pro Light"/>
                <w:sz w:val="22"/>
                <w:szCs w:val="22"/>
              </w:rPr>
              <w:t>Enredo</w:t>
            </w:r>
            <w:proofErr w:type="spellEnd"/>
            <w:r w:rsidRPr="00340B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24C401C" w14:textId="234052B8" w:rsidR="003873CA" w:rsidRPr="00254B40" w:rsidRDefault="009B3160" w:rsidP="00254B4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340B04">
              <w:rPr>
                <w:rFonts w:ascii="Source Sans Pro Light" w:hAnsi="Source Sans Pro Light"/>
                <w:sz w:val="22"/>
                <w:szCs w:val="22"/>
              </w:rPr>
              <w:t>Electrocución</w:t>
            </w:r>
            <w:proofErr w:type="spellEnd"/>
          </w:p>
        </w:tc>
      </w:tr>
      <w:tr w:rsidR="00831485" w:rsidRPr="00340B04" w14:paraId="2144180E" w14:textId="5DB6DD75" w:rsidTr="00431034">
        <w:tc>
          <w:tcPr>
            <w:tcW w:w="2689" w:type="dxa"/>
          </w:tcPr>
          <w:p w14:paraId="22F161DD" w14:textId="59C6E63A" w:rsidR="009B3160" w:rsidRPr="00254B40" w:rsidRDefault="00340B04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661" w:type="dxa"/>
          </w:tcPr>
          <w:p w14:paraId="4B5AAABE" w14:textId="56F52C48" w:rsidR="003873CA" w:rsidRPr="00254B40" w:rsidRDefault="009B3160" w:rsidP="0083148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de protección personal </w:t>
            </w:r>
            <w:r w:rsidR="00E62B8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requerido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dependerá del equipo y </w:t>
            </w:r>
            <w:r w:rsidR="00A56D89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la tarea.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62B8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Realizar una evaluación de los peligros para determinar el equipo de protección personal necesario.</w:t>
            </w:r>
          </w:p>
        </w:tc>
      </w:tr>
      <w:tr w:rsidR="00831485" w:rsidRPr="00340B04" w14:paraId="64D2FC70" w14:textId="2F05881D" w:rsidTr="00431034">
        <w:tc>
          <w:tcPr>
            <w:tcW w:w="2689" w:type="dxa"/>
          </w:tcPr>
          <w:p w14:paraId="41473BEE" w14:textId="168DF0C1" w:rsidR="009B3160" w:rsidRPr="00254B40" w:rsidRDefault="00340B04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661" w:type="dxa"/>
          </w:tcPr>
          <w:p w14:paraId="024392CF" w14:textId="3FFC8E8A" w:rsidR="003873CA" w:rsidRPr="00254B40" w:rsidRDefault="009B3160" w:rsidP="00254B40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Entrenamiento en el </w:t>
            </w:r>
            <w:r w:rsidR="00E62B8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lugar de trabajo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por una persona designada</w:t>
            </w:r>
            <w:r w:rsidR="00A56D89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831485" w:rsidRPr="00340B04" w14:paraId="5909432F" w14:textId="52735BB3" w:rsidTr="00431034">
        <w:tc>
          <w:tcPr>
            <w:tcW w:w="2689" w:type="dxa"/>
          </w:tcPr>
          <w:p w14:paraId="794B4E56" w14:textId="390FE7EA" w:rsidR="009B3160" w:rsidRPr="00254B40" w:rsidRDefault="00340B04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661" w:type="dxa"/>
          </w:tcPr>
          <w:p w14:paraId="1C65AABA" w14:textId="5BF10741" w:rsidR="009B3160" w:rsidRPr="00340B04" w:rsidRDefault="009B3160" w:rsidP="006774A9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Inform</w:t>
            </w:r>
            <w:r w:rsidR="00E62B8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</w:t>
            </w:r>
            <w:r w:rsidR="009E6A9F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supervisor y a todos los afectados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el equipo será bloqueado. </w:t>
            </w:r>
          </w:p>
          <w:p w14:paraId="035371BF" w14:textId="37E0B9A2" w:rsidR="009B3160" w:rsidRPr="00340B04" w:rsidRDefault="009B3160" w:rsidP="006774A9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el trabajo esté </w:t>
            </w:r>
            <w:r w:rsidR="009E6A9F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terminado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, inform</w:t>
            </w:r>
            <w:r w:rsidR="00AA487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todos los afectados que el trabajo está </w:t>
            </w:r>
            <w:r w:rsidR="008F38A9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terminado</w:t>
            </w:r>
            <w:r w:rsidR="00AA487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que el equipo </w:t>
            </w:r>
            <w:r w:rsidR="00A56D89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tendrá energía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Esto puede hacerse oralmente si todos están presentes, de lo contrario debe utilizarse un proceso de comunicación predeterminado. </w:t>
            </w:r>
          </w:p>
          <w:p w14:paraId="2E91B07B" w14:textId="74C43B32" w:rsidR="003873CA" w:rsidRPr="00254B40" w:rsidRDefault="009B3160" w:rsidP="00254B40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Comu</w:t>
            </w:r>
            <w:r w:rsidR="00E62B8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nicarse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el </w:t>
            </w:r>
            <w:r w:rsidR="009E6A9F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dueño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granja si surge algún problema o preocupación durante el </w:t>
            </w:r>
            <w:r w:rsidR="00A47F90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bloqueo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Si el equipo va a permanecer bloqueado durante más de un turno, inform</w:t>
            </w:r>
            <w:r w:rsidR="00AA487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propietario de la granja.</w:t>
            </w:r>
          </w:p>
        </w:tc>
      </w:tr>
      <w:tr w:rsidR="00831485" w:rsidRPr="00340B04" w14:paraId="4F32E73D" w14:textId="0F5B77D1" w:rsidTr="00431034">
        <w:tc>
          <w:tcPr>
            <w:tcW w:w="2689" w:type="dxa"/>
          </w:tcPr>
          <w:p w14:paraId="62681D24" w14:textId="78D4FFFB" w:rsidR="009B3160" w:rsidRPr="00254B40" w:rsidRDefault="00340B04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661" w:type="dxa"/>
          </w:tcPr>
          <w:p w14:paraId="55EDD782" w14:textId="33BB7BB0" w:rsidR="009B3160" w:rsidRPr="00340B04" w:rsidRDefault="00F77A81" w:rsidP="006774A9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Candado</w:t>
            </w:r>
            <w:r w:rsidR="009E2F2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B3160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llave (asignada individualmente) </w:t>
            </w:r>
          </w:p>
          <w:p w14:paraId="207171A4" w14:textId="433E3B9E" w:rsidR="009B3160" w:rsidRPr="00340B04" w:rsidRDefault="009B3160" w:rsidP="006774A9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Cada </w:t>
            </w:r>
            <w:r w:rsidR="00F77A81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candado</w:t>
            </w:r>
            <w:r w:rsidR="009E2F2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sólo puede tener una llave. Si un</w:t>
            </w:r>
            <w:r w:rsidR="009E2F2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77A81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candado</w:t>
            </w:r>
            <w:r w:rsidR="009E2F2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viene con dos llaves, una </w:t>
            </w:r>
            <w:r w:rsidR="00E62B8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ellas debe </w:t>
            </w:r>
            <w:r w:rsidR="009E6A9F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desecharse</w:t>
            </w:r>
            <w:r w:rsidR="00E62B8A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antes de que </w:t>
            </w:r>
            <w:r w:rsidR="00A56D89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77A81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candado</w:t>
            </w:r>
            <w:r w:rsidR="009E2F24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C5312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sea </w:t>
            </w:r>
            <w:proofErr w:type="gramStart"/>
            <w:r w:rsidR="00DC5312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asignada</w:t>
            </w:r>
            <w:proofErr w:type="gramEnd"/>
            <w:r w:rsidR="00DC5312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un trabajador</w:t>
            </w:r>
            <w:r w:rsidR="00A56D89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31039F5" w14:textId="3576F516" w:rsidR="009E2F24" w:rsidRPr="00254B40" w:rsidRDefault="009B3160" w:rsidP="00254B40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340B04">
              <w:rPr>
                <w:rFonts w:ascii="Source Sans Pro Light" w:hAnsi="Source Sans Pro Light"/>
                <w:sz w:val="22"/>
                <w:szCs w:val="22"/>
              </w:rPr>
              <w:t>Etiqueta</w:t>
            </w:r>
            <w:r w:rsidR="009E6A9F" w:rsidRPr="00340B04">
              <w:rPr>
                <w:rFonts w:ascii="Source Sans Pro Light" w:hAnsi="Source Sans Pro Light"/>
                <w:sz w:val="22"/>
                <w:szCs w:val="22"/>
              </w:rPr>
              <w:t>s</w:t>
            </w:r>
            <w:proofErr w:type="spellEnd"/>
            <w:r w:rsidR="009E6A9F" w:rsidRPr="00340B0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9E6A9F" w:rsidRPr="00340B04">
              <w:rPr>
                <w:rFonts w:ascii="Source Sans Pro Light" w:hAnsi="Source Sans Pro Light"/>
                <w:sz w:val="22"/>
                <w:szCs w:val="22"/>
              </w:rPr>
              <w:t>bloque</w:t>
            </w:r>
            <w:r w:rsidR="00156B3E" w:rsidRPr="00340B04">
              <w:rPr>
                <w:rFonts w:ascii="Source Sans Pro Light" w:hAnsi="Source Sans Pro Light"/>
                <w:sz w:val="22"/>
                <w:szCs w:val="22"/>
              </w:rPr>
              <w:t>o</w:t>
            </w:r>
            <w:proofErr w:type="spellEnd"/>
          </w:p>
        </w:tc>
      </w:tr>
      <w:tr w:rsidR="00831485" w:rsidRPr="00340B04" w14:paraId="4692C487" w14:textId="1AE4FEA7" w:rsidTr="004C43FA">
        <w:tc>
          <w:tcPr>
            <w:tcW w:w="9350" w:type="dxa"/>
            <w:gridSpan w:val="2"/>
          </w:tcPr>
          <w:p w14:paraId="1B213AB2" w14:textId="0D080D1F" w:rsidR="009B3160" w:rsidRPr="00254B40" w:rsidRDefault="00A56D89" w:rsidP="00831485">
            <w:pPr>
              <w:spacing w:afterLines="30" w:after="72"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PROCEDIMIENTO</w:t>
            </w:r>
          </w:p>
          <w:p w14:paraId="4284D7FD" w14:textId="4CF05EA0" w:rsidR="009B3160" w:rsidRPr="00340B04" w:rsidRDefault="009B3160" w:rsidP="009E2F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Notifique a todos los empleados afectados que se requiere un </w:t>
            </w:r>
            <w:r w:rsidR="00A47F9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bloqueo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y la </w:t>
            </w:r>
            <w:r w:rsidR="00E62B8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causa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156B3E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de éste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.</w:t>
            </w:r>
          </w:p>
          <w:p w14:paraId="7D5ECBB7" w14:textId="0A4ADBC9" w:rsidR="009B3160" w:rsidRPr="00340B04" w:rsidRDefault="009B3160" w:rsidP="009E2F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Si el equipo está en funcionamiento, el operador lo apagará mediante el procedimiento de parada</w:t>
            </w:r>
            <w:r w:rsidR="00AA4874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/alto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normal (como: pulsar un botón de parada, quitar la llave).</w:t>
            </w:r>
          </w:p>
          <w:p w14:paraId="38BA1E45" w14:textId="4581E5FA" w:rsidR="009B3160" w:rsidRPr="00340B04" w:rsidRDefault="009B3160" w:rsidP="009E2F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Accione el interruptor, el disyuntor, la válvula u otros dispositivos de aislamiento de energía para que la(s) fuente(s) de energía eléctrica(s), mecánica(s), hidráulica(s), etc. se desconecte(n) o se aísle(n) del equipo.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La energía almacenada, como la de los condensadores, resortes, </w:t>
            </w:r>
            <w:r w:rsidR="008F38A9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lastRenderedPageBreak/>
              <w:t xml:space="preserve">partes </w:t>
            </w:r>
            <w:r w:rsidR="00F677CE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elevadas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de máquinas, volantes </w:t>
            </w:r>
            <w:r w:rsidR="00F677CE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de inercia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, sistemas hidráulicos y presión de aire, gas, vapor o </w:t>
            </w:r>
            <w:r w:rsidR="00F677CE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de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agua también debe</w:t>
            </w:r>
            <w:r w:rsidR="00EF127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n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drenarse o restringirse mediante métodos</w:t>
            </w:r>
            <w:r w:rsidR="00EF127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tales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como</w:t>
            </w:r>
            <w:r w:rsidR="008F38A9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: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156B3E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conexión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a tierra, reposici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ón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,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bloque</w:t>
            </w:r>
            <w:r w:rsidR="00156B3E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o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o 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d</w:t>
            </w:r>
            <w:r w:rsidR="008F38A9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r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enado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.</w:t>
            </w:r>
          </w:p>
          <w:p w14:paraId="57282165" w14:textId="54CFA093" w:rsidR="009B3160" w:rsidRPr="00340B04" w:rsidRDefault="00F677CE" w:rsidP="009E2F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Bloquee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las fuentes de energía con bloqueos individuales asignados.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Ponga 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un 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candado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en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todas las fuentes de energía y mantenga la llave con usted en todo momento.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Debe haber un candado en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cada fuente de energía por cada persona que trabaje en el equipo bloqueado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.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Pídale al dueño de la granja un procedimiento de seguridad si </w:t>
            </w:r>
            <w:r w:rsidR="00F27203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el equipo no puede acomodar todo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s l</w:t>
            </w:r>
            <w:r w:rsidR="00F77A81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os</w:t>
            </w:r>
            <w:r w:rsidR="009E2F24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F77A81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candado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s requerid</w:t>
            </w:r>
            <w:r w:rsidR="00F77A81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o</w:t>
            </w:r>
            <w:r w:rsidR="009B316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s.</w:t>
            </w:r>
          </w:p>
          <w:p w14:paraId="399601D9" w14:textId="1A114838" w:rsidR="009B3160" w:rsidRPr="00340B04" w:rsidRDefault="009B3160" w:rsidP="009E2F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Coloque una etiqueta de bloqueo en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donde </w:t>
            </w:r>
            <w:r w:rsidR="00F504CA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se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haya colocado un candado.</w:t>
            </w:r>
          </w:p>
          <w:p w14:paraId="4AD1B9B9" w14:textId="08FB5ECC" w:rsidR="009B3160" w:rsidRPr="00340B04" w:rsidRDefault="009B3160" w:rsidP="009E2F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Después de asegurarse de que no haya personal expuesto y de comprobar que la fuente de energía esté desconectada, accione el botón o cualquier otro control de funcionamiento normal para asegurarse de que el equipo no funcionará.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PRECAUCIÓN: Vuelva a poner los controles de funcionamiento en posición neutral después de la prueba.</w:t>
            </w:r>
          </w:p>
          <w:p w14:paraId="1E6D317A" w14:textId="1B3E0A63" w:rsidR="00340B04" w:rsidRPr="00254B40" w:rsidRDefault="009B3160" w:rsidP="009E2F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El equipo está ahora bloqueado.</w:t>
            </w:r>
          </w:p>
          <w:p w14:paraId="3D659245" w14:textId="27C86317" w:rsidR="009B3160" w:rsidRPr="00340B04" w:rsidRDefault="009B3160" w:rsidP="009E2F24">
            <w:pPr>
              <w:autoSpaceDE w:val="0"/>
              <w:autoSpaceDN w:val="0"/>
              <w:adjustRightInd w:val="0"/>
              <w:spacing w:afterLines="50" w:after="120" w:line="240" w:lineRule="auto"/>
              <w:rPr>
                <w:rFonts w:ascii="Source Sans Pro Light" w:eastAsiaTheme="minorHAnsi" w:hAnsi="Source Sans Pro Light" w:cs="TimesNewRoman,Bold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,Bold"/>
                <w:sz w:val="22"/>
                <w:szCs w:val="22"/>
                <w:lang w:val="es-MX"/>
              </w:rPr>
              <w:t>Restauración del</w:t>
            </w:r>
            <w:r w:rsidR="00831485" w:rsidRPr="00340B04">
              <w:rPr>
                <w:rFonts w:ascii="Source Sans Pro Light" w:eastAsiaTheme="minorHAnsi" w:hAnsi="Source Sans Pro Light" w:cs="TimesNewRoman,Bold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eastAsiaTheme="minorHAnsi" w:hAnsi="Source Sans Pro Light" w:cs="TimesNewRoman,Bold"/>
                <w:sz w:val="22"/>
                <w:szCs w:val="22"/>
                <w:lang w:val="es-MX"/>
              </w:rPr>
              <w:t>servicio</w:t>
            </w:r>
            <w:r w:rsidR="00EF1275" w:rsidRPr="00340B04">
              <w:rPr>
                <w:rFonts w:ascii="Source Sans Pro Light" w:eastAsiaTheme="minorHAnsi" w:hAnsi="Source Sans Pro Light" w:cs="TimesNewRoman,Bold"/>
                <w:sz w:val="22"/>
                <w:szCs w:val="22"/>
                <w:lang w:val="es-MX"/>
              </w:rPr>
              <w:t xml:space="preserve"> del equipo</w:t>
            </w:r>
          </w:p>
          <w:p w14:paraId="7FFE4F9B" w14:textId="68452D4F" w:rsidR="009B3160" w:rsidRPr="00340B04" w:rsidRDefault="009B3160" w:rsidP="009E2F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Cuando el trabajo esté </w:t>
            </w:r>
            <w:r w:rsidR="00FA47E4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terminado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y el equipo esté listo para la prueba o el servicio normal, compruebe el área del equipo para ver que nadie esté expuesto a un posible peligro.</w:t>
            </w:r>
          </w:p>
          <w:p w14:paraId="7FF2CE3B" w14:textId="6C6F523C" w:rsidR="009B3160" w:rsidRPr="00340B04" w:rsidRDefault="009B3160" w:rsidP="009E2F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Cuando el equipo esté libre de cualquier persona que pueda resultar herida durante la puesta en marcha del equipo, retire todos los bloqueos y etiquetas.</w:t>
            </w:r>
            <w:r w:rsidR="00831485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Sólo la persona que puso un candado y </w:t>
            </w:r>
            <w:r w:rsidR="00AB56D0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l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a etiqueta puede quitar ese candado y esa etiqueta.</w:t>
            </w:r>
          </w:p>
          <w:p w14:paraId="20DEA58C" w14:textId="6A8D7D9B" w:rsidR="009B3160" w:rsidRPr="00340B04" w:rsidRDefault="009B3160" w:rsidP="009E2F24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Si no se puede contactar </w:t>
            </w:r>
            <w:r w:rsidR="00F80BE3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a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la persona que bloqueó el equipo o si esa persona no está disponible, el propietario de la </w:t>
            </w:r>
            <w:r w:rsidR="00F80BE3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granja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que haya determinado que es seguro activar el equipo, podrá retirar </w:t>
            </w:r>
            <w:r w:rsidR="00F80BE3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el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dispositivo de bloqueo o </w:t>
            </w:r>
            <w:r w:rsidR="00F80BE3"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la</w:t>
            </w: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 etiqueta de bloqueo.</w:t>
            </w:r>
          </w:p>
          <w:p w14:paraId="146727DD" w14:textId="2724DF13" w:rsidR="009B3160" w:rsidRPr="00340B04" w:rsidRDefault="009B3160" w:rsidP="009E2F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Restaurar la energía al equipo.</w:t>
            </w:r>
          </w:p>
          <w:p w14:paraId="5E0A02FD" w14:textId="2A22BA13" w:rsidR="008D5CC7" w:rsidRPr="00254B40" w:rsidRDefault="009B3160" w:rsidP="00254B40">
            <w:pPr>
              <w:pStyle w:val="ListParagraph"/>
              <w:numPr>
                <w:ilvl w:val="0"/>
                <w:numId w:val="4"/>
              </w:numPr>
              <w:spacing w:afterLines="50" w:after="120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340B04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El operador debe reiniciar el equipo para asegurar que la energía sea restaurada adecuadamente.</w:t>
            </w:r>
          </w:p>
        </w:tc>
      </w:tr>
      <w:tr w:rsidR="00831485" w:rsidRPr="00340B04" w14:paraId="584E0DAB" w14:textId="029167F2" w:rsidTr="00431034">
        <w:tc>
          <w:tcPr>
            <w:tcW w:w="2689" w:type="dxa"/>
          </w:tcPr>
          <w:p w14:paraId="4348BB81" w14:textId="78D4275F" w:rsidR="009B3160" w:rsidRPr="00254B40" w:rsidRDefault="009B3160" w:rsidP="006774A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54B40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  <w:bookmarkStart w:id="0" w:name="_Hlk525293653"/>
          </w:p>
        </w:tc>
        <w:tc>
          <w:tcPr>
            <w:tcW w:w="6661" w:type="dxa"/>
          </w:tcPr>
          <w:p w14:paraId="1F4D5C19" w14:textId="4E7F5D2E" w:rsidR="009B3160" w:rsidRPr="00340B04" w:rsidRDefault="009B3160" w:rsidP="006774A9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bookmarkStart w:id="1" w:name="OLE_LINK1"/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831485"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0B04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  <w:bookmarkEnd w:id="1"/>
          </w:p>
        </w:tc>
      </w:tr>
      <w:bookmarkEnd w:id="0"/>
    </w:tbl>
    <w:p w14:paraId="4A662C0B" w14:textId="5C2ADB39" w:rsidR="005F0B85" w:rsidRPr="00340B04" w:rsidRDefault="005F0B85" w:rsidP="00431034">
      <w:pPr>
        <w:rPr>
          <w:rFonts w:ascii="Source Sans Pro Light" w:hAnsi="Source Sans Pro Light"/>
          <w:sz w:val="22"/>
          <w:szCs w:val="22"/>
          <w:lang w:val="es-MX"/>
        </w:rPr>
      </w:pPr>
    </w:p>
    <w:sectPr w:rsidR="005F0B85" w:rsidRPr="00340B04" w:rsidSect="00866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E937" w14:textId="77777777" w:rsidR="0029134C" w:rsidRDefault="0029134C" w:rsidP="00EC0D59">
      <w:pPr>
        <w:spacing w:line="240" w:lineRule="auto"/>
      </w:pPr>
      <w:r>
        <w:separator/>
      </w:r>
    </w:p>
  </w:endnote>
  <w:endnote w:type="continuationSeparator" w:id="0">
    <w:p w14:paraId="01BCDD77" w14:textId="77777777" w:rsidR="0029134C" w:rsidRDefault="0029134C" w:rsidP="00EC0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FF54" w14:textId="77777777" w:rsidR="0086614B" w:rsidRDefault="00866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2918" w14:textId="77777777" w:rsidR="00831485" w:rsidRPr="00831485" w:rsidRDefault="00831485" w:rsidP="00831485">
    <w:pPr>
      <w:spacing w:line="240" w:lineRule="auto"/>
      <w:rPr>
        <w:rFonts w:cs="Calibri"/>
        <w:sz w:val="6"/>
        <w:szCs w:val="6"/>
        <w:lang w:val="es-MX" w:eastAsia="en-CA"/>
      </w:rPr>
    </w:pPr>
  </w:p>
  <w:p w14:paraId="39EE1892" w14:textId="77777777" w:rsidR="00412435" w:rsidRPr="0086614B" w:rsidRDefault="00412435" w:rsidP="00AB56D0">
    <w:pPr>
      <w:spacing w:line="240" w:lineRule="auto"/>
      <w:rPr>
        <w:rFonts w:ascii="Source Sans Pro Light" w:hAnsi="Source Sans Pro Light"/>
        <w:sz w:val="18"/>
        <w:szCs w:val="18"/>
        <w:lang w:val="es-MX"/>
      </w:rPr>
    </w:pPr>
    <w:r w:rsidRPr="0086614B">
      <w:rPr>
        <w:rFonts w:ascii="Source Sans Pro Light" w:hAnsi="Source Sans Pro Light" w:cs="Calibri"/>
        <w:sz w:val="18"/>
        <w:szCs w:val="18"/>
        <w:lang w:val="es-MX" w:eastAsia="en-CA"/>
      </w:rPr>
      <w:t xml:space="preserve">DESCARGO DE RESPONSABILIDAD: Esta póliza es un ejemplo de una visión general proporcionada por Farm Safety Nova </w:t>
    </w:r>
    <w:proofErr w:type="spellStart"/>
    <w:r w:rsidRPr="0086614B">
      <w:rPr>
        <w:rFonts w:ascii="Source Sans Pro Light" w:hAnsi="Source Sans Pro Light" w:cs="Calibri"/>
        <w:sz w:val="18"/>
        <w:szCs w:val="18"/>
        <w:lang w:val="es-MX" w:eastAsia="en-CA"/>
      </w:rPr>
      <w:t>Scotia</w:t>
    </w:r>
    <w:proofErr w:type="spellEnd"/>
    <w:r w:rsidRPr="0086614B">
      <w:rPr>
        <w:rFonts w:ascii="Source Sans Pro Light" w:hAnsi="Source Sans Pro Light" w:cs="Calibri"/>
        <w:sz w:val="18"/>
        <w:szCs w:val="18"/>
        <w:lang w:val="es-MX" w:eastAsia="en-CA"/>
      </w:rPr>
      <w:t xml:space="preserve"> y tiene fines meramente informativos. Los granjeros son responsables de modificar el ejemplo para adaptarlo a cada granja en particular.</w:t>
    </w:r>
  </w:p>
  <w:p w14:paraId="7179CA90" w14:textId="685CD88B" w:rsidR="00AB56D0" w:rsidRPr="0086614B" w:rsidRDefault="00412435" w:rsidP="00AB56D0">
    <w:pPr>
      <w:spacing w:line="240" w:lineRule="auto"/>
      <w:rPr>
        <w:rFonts w:ascii="Source Sans Pro Light" w:hAnsi="Source Sans Pro Light" w:cs="Calibri"/>
        <w:sz w:val="18"/>
        <w:szCs w:val="18"/>
        <w:lang w:val="es-MX" w:eastAsia="en-CA"/>
      </w:rPr>
    </w:pPr>
    <w:r w:rsidRPr="0086614B">
      <w:rPr>
        <w:rFonts w:ascii="Source Sans Pro Light" w:hAnsi="Source Sans Pro Light" w:cs="Calibri"/>
        <w:sz w:val="18"/>
        <w:szCs w:val="18"/>
        <w:lang w:val="es-MX" w:eastAsia="en-CA"/>
      </w:rPr>
      <w:t>** En este documento se usó el masculino gramatical, que</w:t>
    </w:r>
    <w:r w:rsidR="00831485" w:rsidRPr="0086614B">
      <w:rPr>
        <w:rFonts w:ascii="Source Sans Pro Light" w:hAnsi="Source Sans Pro Light" w:cs="Calibri"/>
        <w:sz w:val="18"/>
        <w:szCs w:val="18"/>
        <w:lang w:val="es-MX" w:eastAsia="en-CA"/>
      </w:rPr>
      <w:t xml:space="preserve"> </w:t>
    </w:r>
    <w:r w:rsidRPr="0086614B">
      <w:rPr>
        <w:rFonts w:ascii="Source Sans Pro Light" w:hAnsi="Source Sans Pro Light"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E8C3" w14:textId="77777777" w:rsidR="0086614B" w:rsidRDefault="0086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1C72" w14:textId="77777777" w:rsidR="0029134C" w:rsidRDefault="0029134C" w:rsidP="00EC0D59">
      <w:pPr>
        <w:spacing w:line="240" w:lineRule="auto"/>
      </w:pPr>
      <w:r>
        <w:separator/>
      </w:r>
    </w:p>
  </w:footnote>
  <w:footnote w:type="continuationSeparator" w:id="0">
    <w:p w14:paraId="0A8E72ED" w14:textId="77777777" w:rsidR="0029134C" w:rsidRDefault="0029134C" w:rsidP="00EC0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BD8D" w14:textId="77777777" w:rsidR="0086614B" w:rsidRDefault="00866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2153" w14:textId="77777777" w:rsidR="00603FE8" w:rsidRDefault="00603FE8" w:rsidP="003873CA">
    <w:pPr>
      <w:tabs>
        <w:tab w:val="center" w:pos="4680"/>
        <w:tab w:val="right" w:pos="9360"/>
      </w:tabs>
      <w:spacing w:line="276" w:lineRule="auto"/>
      <w:jc w:val="center"/>
      <w:rPr>
        <w:rFonts w:ascii="Source Sans Pro Light" w:eastAsia="Calibri" w:hAnsi="Source Sans Pro Light"/>
        <w:b/>
        <w:bCs/>
        <w:smallCaps/>
        <w:lang w:val="es-MX"/>
      </w:rPr>
    </w:pPr>
  </w:p>
  <w:p w14:paraId="347B0785" w14:textId="12982050" w:rsidR="00EC0D59" w:rsidRDefault="006774A9" w:rsidP="003873CA">
    <w:pPr>
      <w:tabs>
        <w:tab w:val="center" w:pos="4680"/>
        <w:tab w:val="right" w:pos="9360"/>
      </w:tabs>
      <w:spacing w:line="276" w:lineRule="auto"/>
      <w:jc w:val="center"/>
      <w:rPr>
        <w:rFonts w:ascii="Source Sans Pro Light" w:eastAsia="Calibri" w:hAnsi="Source Sans Pro Light"/>
        <w:b/>
        <w:bCs/>
        <w:smallCaps/>
        <w:lang w:val="es-MX"/>
      </w:rPr>
    </w:pPr>
    <w:r w:rsidRPr="00831485">
      <w:rPr>
        <w:rFonts w:ascii="Source Sans Pro Light" w:eastAsia="Calibri" w:hAnsi="Source Sans Pro Light"/>
        <w:b/>
        <w:bCs/>
        <w:smallCaps/>
        <w:lang w:val="es-MX"/>
      </w:rPr>
      <w:t xml:space="preserve">PROCEDIMIENTO DE </w:t>
    </w:r>
    <w:r w:rsidR="00A47F90" w:rsidRPr="00831485">
      <w:rPr>
        <w:rFonts w:ascii="Source Sans Pro Light" w:eastAsia="Calibri" w:hAnsi="Source Sans Pro Light"/>
        <w:b/>
        <w:bCs/>
        <w:smallCaps/>
        <w:lang w:val="es-MX"/>
      </w:rPr>
      <w:t>BLOQUEO</w:t>
    </w:r>
    <w:r w:rsidRPr="00831485">
      <w:rPr>
        <w:rFonts w:ascii="Source Sans Pro Light" w:eastAsia="Calibri" w:hAnsi="Source Sans Pro Light"/>
        <w:b/>
        <w:bCs/>
        <w:caps/>
        <w:lang w:val="es-MX"/>
      </w:rPr>
      <w:t xml:space="preserve"> </w:t>
    </w:r>
    <w:r w:rsidR="009B3160" w:rsidRPr="00831485">
      <w:rPr>
        <w:rFonts w:ascii="Source Sans Pro Light" w:eastAsia="Calibri" w:hAnsi="Source Sans Pro Light"/>
        <w:b/>
        <w:bCs/>
        <w:caps/>
        <w:lang w:val="es-MX"/>
      </w:rPr>
      <w:t xml:space="preserve">DE </w:t>
    </w:r>
    <w:r w:rsidR="00254B40">
      <w:rPr>
        <w:rFonts w:ascii="Source Sans Pro Light" w:eastAsia="Calibri" w:hAnsi="Source Sans Pro Light"/>
        <w:b/>
        <w:bCs/>
        <w:smallCaps/>
        <w:lang w:val="es-MX"/>
      </w:rPr>
      <w:fldChar w:fldCharType="begin"/>
    </w:r>
    <w:r w:rsidR="00254B40">
      <w:rPr>
        <w:rFonts w:ascii="Source Sans Pro Light" w:eastAsia="Calibri" w:hAnsi="Source Sans Pro Light"/>
        <w:b/>
        <w:bCs/>
        <w:smallCaps/>
        <w:lang w:val="es-MX"/>
      </w:rPr>
      <w:instrText xml:space="preserve"> DOCPROPERTY  "Farm Name"  \* MERGEFORMAT </w:instrText>
    </w:r>
    <w:r w:rsidR="00254B40">
      <w:rPr>
        <w:rFonts w:ascii="Source Sans Pro Light" w:eastAsia="Calibri" w:hAnsi="Source Sans Pro Light"/>
        <w:b/>
        <w:bCs/>
        <w:smallCaps/>
        <w:lang w:val="es-MX"/>
      </w:rPr>
      <w:fldChar w:fldCharType="separate"/>
    </w:r>
    <w:r w:rsidR="00254B40">
      <w:rPr>
        <w:rFonts w:ascii="Source Sans Pro Light" w:eastAsia="Calibri" w:hAnsi="Source Sans Pro Light"/>
        <w:b/>
        <w:bCs/>
        <w:smallCaps/>
        <w:lang w:val="es-MX"/>
      </w:rPr>
      <w:t>&lt;&lt; NOMBRE DE LA GRANJA &gt;&gt;</w:t>
    </w:r>
    <w:r w:rsidR="00254B40">
      <w:rPr>
        <w:rFonts w:ascii="Source Sans Pro Light" w:eastAsia="Calibri" w:hAnsi="Source Sans Pro Light"/>
        <w:b/>
        <w:bCs/>
        <w:smallCaps/>
        <w:lang w:val="es-MX"/>
      </w:rPr>
      <w:fldChar w:fldCharType="end"/>
    </w:r>
  </w:p>
  <w:p w14:paraId="6C38E9E6" w14:textId="77777777" w:rsidR="00AA4874" w:rsidRPr="00831485" w:rsidRDefault="00AA4874" w:rsidP="003873CA">
    <w:pPr>
      <w:tabs>
        <w:tab w:val="center" w:pos="4680"/>
        <w:tab w:val="right" w:pos="9360"/>
      </w:tabs>
      <w:spacing w:line="276" w:lineRule="auto"/>
      <w:jc w:val="center"/>
      <w:rPr>
        <w:rFonts w:ascii="Source Sans Pro Light" w:eastAsia="Calibri" w:hAnsi="Source Sans Pro Light"/>
        <w:b/>
        <w:bCs/>
        <w:smallCaps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62F9" w14:textId="77777777" w:rsidR="0086614B" w:rsidRDefault="00866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4F5"/>
    <w:multiLevelType w:val="hybridMultilevel"/>
    <w:tmpl w:val="4802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F1C"/>
    <w:multiLevelType w:val="hybridMultilevel"/>
    <w:tmpl w:val="513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75E9"/>
    <w:multiLevelType w:val="hybridMultilevel"/>
    <w:tmpl w:val="9B882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087C"/>
    <w:multiLevelType w:val="hybridMultilevel"/>
    <w:tmpl w:val="3CECA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1F74"/>
    <w:multiLevelType w:val="hybridMultilevel"/>
    <w:tmpl w:val="A0C6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48"/>
    <w:multiLevelType w:val="hybridMultilevel"/>
    <w:tmpl w:val="1F4E7B78"/>
    <w:lvl w:ilvl="0" w:tplc="40E0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93D"/>
    <w:multiLevelType w:val="hybridMultilevel"/>
    <w:tmpl w:val="1C0ECCB2"/>
    <w:lvl w:ilvl="0" w:tplc="63704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64087E"/>
    <w:multiLevelType w:val="hybridMultilevel"/>
    <w:tmpl w:val="F5F0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41C5"/>
    <w:multiLevelType w:val="hybridMultilevel"/>
    <w:tmpl w:val="0720D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59"/>
    <w:rsid w:val="00023063"/>
    <w:rsid w:val="00091FDB"/>
    <w:rsid w:val="000B1A70"/>
    <w:rsid w:val="000B3E14"/>
    <w:rsid w:val="000E63C5"/>
    <w:rsid w:val="000E7E79"/>
    <w:rsid w:val="0013713C"/>
    <w:rsid w:val="0014437F"/>
    <w:rsid w:val="00156B3E"/>
    <w:rsid w:val="0017493C"/>
    <w:rsid w:val="001819E6"/>
    <w:rsid w:val="001D39CF"/>
    <w:rsid w:val="001D7AE5"/>
    <w:rsid w:val="00211EAA"/>
    <w:rsid w:val="00254106"/>
    <w:rsid w:val="00254B40"/>
    <w:rsid w:val="0029134C"/>
    <w:rsid w:val="00297C0D"/>
    <w:rsid w:val="002B2690"/>
    <w:rsid w:val="00340B04"/>
    <w:rsid w:val="0038520C"/>
    <w:rsid w:val="003873CA"/>
    <w:rsid w:val="00402E47"/>
    <w:rsid w:val="00412435"/>
    <w:rsid w:val="00431034"/>
    <w:rsid w:val="0043300E"/>
    <w:rsid w:val="00447C0E"/>
    <w:rsid w:val="00474EA9"/>
    <w:rsid w:val="004F177A"/>
    <w:rsid w:val="00582528"/>
    <w:rsid w:val="005B1B38"/>
    <w:rsid w:val="005C0535"/>
    <w:rsid w:val="005C5800"/>
    <w:rsid w:val="005F0B85"/>
    <w:rsid w:val="00603FE8"/>
    <w:rsid w:val="006774A9"/>
    <w:rsid w:val="006C392B"/>
    <w:rsid w:val="00761823"/>
    <w:rsid w:val="007C7EAF"/>
    <w:rsid w:val="007E1BBE"/>
    <w:rsid w:val="00831485"/>
    <w:rsid w:val="0086614B"/>
    <w:rsid w:val="008804EF"/>
    <w:rsid w:val="008A1A16"/>
    <w:rsid w:val="008D5CC7"/>
    <w:rsid w:val="008E4263"/>
    <w:rsid w:val="008F38A9"/>
    <w:rsid w:val="0094131C"/>
    <w:rsid w:val="009B3160"/>
    <w:rsid w:val="009E2F24"/>
    <w:rsid w:val="009E49F2"/>
    <w:rsid w:val="009E6A9F"/>
    <w:rsid w:val="00A00073"/>
    <w:rsid w:val="00A21ABD"/>
    <w:rsid w:val="00A427B9"/>
    <w:rsid w:val="00A463C0"/>
    <w:rsid w:val="00A47F90"/>
    <w:rsid w:val="00A56D89"/>
    <w:rsid w:val="00A752A1"/>
    <w:rsid w:val="00AA4874"/>
    <w:rsid w:val="00AB56D0"/>
    <w:rsid w:val="00B02374"/>
    <w:rsid w:val="00B1193A"/>
    <w:rsid w:val="00B44168"/>
    <w:rsid w:val="00B5615F"/>
    <w:rsid w:val="00B913DB"/>
    <w:rsid w:val="00B9568E"/>
    <w:rsid w:val="00C17819"/>
    <w:rsid w:val="00C424E2"/>
    <w:rsid w:val="00C43895"/>
    <w:rsid w:val="00C43EB2"/>
    <w:rsid w:val="00C47348"/>
    <w:rsid w:val="00C50E45"/>
    <w:rsid w:val="00C619A4"/>
    <w:rsid w:val="00CD7215"/>
    <w:rsid w:val="00D13F77"/>
    <w:rsid w:val="00D31E26"/>
    <w:rsid w:val="00D902AA"/>
    <w:rsid w:val="00DC5312"/>
    <w:rsid w:val="00DF624B"/>
    <w:rsid w:val="00E011D3"/>
    <w:rsid w:val="00E568D9"/>
    <w:rsid w:val="00E62B8A"/>
    <w:rsid w:val="00E70610"/>
    <w:rsid w:val="00E83D5C"/>
    <w:rsid w:val="00E94166"/>
    <w:rsid w:val="00EC09F4"/>
    <w:rsid w:val="00EC0D59"/>
    <w:rsid w:val="00EC1912"/>
    <w:rsid w:val="00EC5F92"/>
    <w:rsid w:val="00EE3ABA"/>
    <w:rsid w:val="00EF1275"/>
    <w:rsid w:val="00F078D5"/>
    <w:rsid w:val="00F27203"/>
    <w:rsid w:val="00F504CA"/>
    <w:rsid w:val="00F5791A"/>
    <w:rsid w:val="00F677CE"/>
    <w:rsid w:val="00F77A81"/>
    <w:rsid w:val="00F80BE3"/>
    <w:rsid w:val="00FA47E4"/>
    <w:rsid w:val="00FB2E15"/>
    <w:rsid w:val="00FD3397"/>
    <w:rsid w:val="00FE5B04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EBDFD"/>
  <w15:docId w15:val="{E3159339-F7E6-4070-9C19-4BB570A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59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59"/>
    <w:pPr>
      <w:ind w:left="720"/>
      <w:contextualSpacing/>
    </w:pPr>
  </w:style>
  <w:style w:type="paragraph" w:customStyle="1" w:styleId="MainTitle">
    <w:name w:val="Main Title"/>
    <w:basedOn w:val="Normal"/>
    <w:link w:val="MainTitleChar"/>
    <w:qFormat/>
    <w:rsid w:val="00EC0D59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EC0D59"/>
    <w:rPr>
      <w:rFonts w:ascii="Calibri" w:eastAsia="Times New Roman" w:hAnsi="Calibri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0D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9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D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9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3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6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A9F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9F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4</cp:revision>
  <dcterms:created xsi:type="dcterms:W3CDTF">2021-06-11T16:47:00Z</dcterms:created>
  <dcterms:modified xsi:type="dcterms:W3CDTF">2021-06-14T18:05:00Z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