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1488" w:rsidRPr="00651DFB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235D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99A909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C53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7D0D79E9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0AE2EC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22C0AB90" w14:textId="77777777" w:rsidR="00875EA5" w:rsidRPr="00651DFB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BE7ECA" w:rsidRPr="00651DFB" w14:paraId="3E6210EE" w14:textId="79C392E1" w:rsidTr="00BE7ECA">
        <w:tc>
          <w:tcPr>
            <w:tcW w:w="2895" w:type="dxa"/>
          </w:tcPr>
          <w:p w14:paraId="22695802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59F886F6" w14:textId="78199391" w:rsidR="004C1FF4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for each 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 xml:space="preserve">wagon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listed below</w:t>
            </w:r>
            <w:r w:rsidR="00FD541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9843EA3" w14:textId="42AA6C48" w:rsidR="00BE7ECA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 xml:space="preserve">owered Mobile Equipment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and Tractor </w:t>
            </w:r>
            <w:r w:rsidR="00FD5419">
              <w:rPr>
                <w:rFonts w:ascii="Source Sans Pro Light" w:hAnsi="Source Sans Pro Light"/>
                <w:sz w:val="22"/>
                <w:szCs w:val="22"/>
              </w:rPr>
              <w:t xml:space="preserve">Operation 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>Safe Work Practice</w:t>
            </w:r>
          </w:p>
          <w:p w14:paraId="5EE6ACBC" w14:textId="4C328D5C" w:rsidR="00D863FA" w:rsidRPr="00475FC8" w:rsidRDefault="00D863FA" w:rsidP="00475FC8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7AA5B07F" w14:textId="5A5E6516" w:rsidTr="00BE7ECA">
        <w:tc>
          <w:tcPr>
            <w:tcW w:w="2895" w:type="dxa"/>
          </w:tcPr>
          <w:p w14:paraId="7EB180C3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When to use this WWP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3D499C42" w14:textId="59276FFF" w:rsidR="00BE7ECA" w:rsidRPr="00651DFB" w:rsidRDefault="00BE7ECA" w:rsidP="00B45A8A">
            <w:p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This SWP is to be used when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using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 xml:space="preserve"> wagons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>for farming operations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.  It is important for all </w:t>
            </w:r>
            <w:r w:rsidR="00DE13A0">
              <w:rPr>
                <w:rFonts w:ascii="Source Sans Pro Light" w:hAnsi="Source Sans Pro Light"/>
                <w:sz w:val="22"/>
                <w:szCs w:val="22"/>
              </w:rPr>
              <w:t>workers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to follow the safe work practices and to refer to the operator’s manual prior to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hitching and operating the </w:t>
            </w:r>
            <w:r w:rsidR="00475FC8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. Operators must have a valid driver’s license to operate a tractor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 or tow vehicle.</w:t>
            </w:r>
          </w:p>
          <w:p w14:paraId="7258EC42" w14:textId="4BFC64A5" w:rsidR="00D863FA" w:rsidRPr="00651DFB" w:rsidRDefault="00D863FA" w:rsidP="00B45A8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66CADEC" w14:textId="586C9610" w:rsidTr="00BE7ECA">
        <w:tc>
          <w:tcPr>
            <w:tcW w:w="2895" w:type="dxa"/>
          </w:tcPr>
          <w:p w14:paraId="4170FB7C" w14:textId="47DE342A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6455" w:type="dxa"/>
          </w:tcPr>
          <w:p w14:paraId="6B88831C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A3D4A">
              <w:rPr>
                <w:rFonts w:ascii="Source Sans Pro Light" w:hAnsi="Source Sans Pro Light"/>
                <w:sz w:val="22"/>
              </w:rPr>
              <w:t xml:space="preserve">Crushing </w:t>
            </w:r>
          </w:p>
          <w:p w14:paraId="6F1AA9AD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Runover</w:t>
            </w:r>
          </w:p>
          <w:p w14:paraId="6CEC5040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Falls</w:t>
            </w:r>
          </w:p>
          <w:p w14:paraId="40CF9193" w14:textId="7063218D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  <w:r w:rsidR="00904A16">
              <w:rPr>
                <w:rFonts w:ascii="Source Sans Pro Light" w:hAnsi="Source Sans Pro Light"/>
                <w:sz w:val="22"/>
              </w:rPr>
              <w:t>/PTO</w:t>
            </w:r>
          </w:p>
          <w:p w14:paraId="1E8EE8DF" w14:textId="129818AD" w:rsidR="00D96023" w:rsidRPr="00D96023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Collisions</w:t>
            </w:r>
          </w:p>
          <w:p w14:paraId="58C5C7D7" w14:textId="28176484" w:rsidR="00D863FA" w:rsidRPr="00651DFB" w:rsidRDefault="00D863FA" w:rsidP="00904A16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50395B54" w14:textId="4BF34A56" w:rsidTr="00BE7ECA">
        <w:tc>
          <w:tcPr>
            <w:tcW w:w="2895" w:type="dxa"/>
          </w:tcPr>
          <w:p w14:paraId="0D31F2B9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455" w:type="dxa"/>
          </w:tcPr>
          <w:p w14:paraId="4743E250" w14:textId="176C21C5" w:rsidR="00BE7ECA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The personal protective equipment required will depend on the task for which the tractor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, tow vehicle and implement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is being used. Consult with the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>owner’s manual of the implement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for the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appropriate PPE 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>to use.</w:t>
            </w:r>
          </w:p>
          <w:p w14:paraId="65632E7A" w14:textId="4EBF7327" w:rsidR="009B7BB2" w:rsidRPr="00651DFB" w:rsidRDefault="009B7BB2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CSA approved</w:t>
            </w:r>
          </w:p>
          <w:p w14:paraId="67343FD6" w14:textId="77777777" w:rsidR="00BE7ECA" w:rsidRPr="00651DFB" w:rsidRDefault="00BE7EC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Steel-toe footwear</w:t>
            </w:r>
          </w:p>
          <w:p w14:paraId="0D3D5EF4" w14:textId="688F3DFC" w:rsidR="00BE7ECA" w:rsidRPr="00651DFB" w:rsidRDefault="00D863F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BE7ECA" w:rsidRPr="00651DFB">
              <w:rPr>
                <w:rFonts w:ascii="Source Sans Pro Light" w:hAnsi="Source Sans Pro Light"/>
                <w:sz w:val="22"/>
                <w:szCs w:val="22"/>
              </w:rPr>
              <w:t xml:space="preserve"> protection</w:t>
            </w:r>
          </w:p>
          <w:p w14:paraId="5A49D765" w14:textId="2A5834B2" w:rsidR="00BD68CE" w:rsidRDefault="00BD68CE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High Visibility Clothing</w:t>
            </w:r>
          </w:p>
          <w:p w14:paraId="14EA5800" w14:textId="3FFE61CF" w:rsidR="001E3DCD" w:rsidRPr="00651DFB" w:rsidRDefault="001E3DCD" w:rsidP="00BD68CE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4F77A513" w14:textId="293FBCDE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36F1044E" w14:textId="0FF61735" w:rsidTr="00BE7ECA">
        <w:tc>
          <w:tcPr>
            <w:tcW w:w="2895" w:type="dxa"/>
          </w:tcPr>
          <w:p w14:paraId="59629B6A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6455" w:type="dxa"/>
          </w:tcPr>
          <w:p w14:paraId="3C756AA5" w14:textId="77777777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Valid Class 8 or higher driver’s license </w:t>
            </w:r>
          </w:p>
          <w:p w14:paraId="2092BEDC" w14:textId="6C4D7E5F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Must be considered competent by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owner</w:t>
            </w:r>
          </w:p>
          <w:p w14:paraId="6EE4F6BC" w14:textId="06706301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40D7E47" w14:textId="4F9753C9" w:rsidTr="00BE7ECA">
        <w:tc>
          <w:tcPr>
            <w:tcW w:w="2895" w:type="dxa"/>
          </w:tcPr>
          <w:p w14:paraId="1BF51403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6455" w:type="dxa"/>
          </w:tcPr>
          <w:p w14:paraId="7FE87680" w14:textId="1914F1AC" w:rsidR="00D863FA" w:rsidRPr="00651DFB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>farm owner.</w:t>
            </w:r>
          </w:p>
          <w:p w14:paraId="7B762999" w14:textId="41CD66AB" w:rsidR="00D863FA" w:rsidRPr="00651DFB" w:rsidRDefault="00D863F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4600E54E" w14:textId="1ED96768" w:rsidTr="00BE7ECA">
        <w:tc>
          <w:tcPr>
            <w:tcW w:w="2895" w:type="dxa"/>
          </w:tcPr>
          <w:p w14:paraId="2B891BE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6455" w:type="dxa"/>
          </w:tcPr>
          <w:p w14:paraId="7EF979EF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First aid kit </w:t>
            </w:r>
          </w:p>
          <w:p w14:paraId="0D2AF2F4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Fire extinguisher </w:t>
            </w:r>
          </w:p>
          <w:p w14:paraId="1560C904" w14:textId="2424C47F" w:rsidR="00D863FA" w:rsidRPr="00651DFB" w:rsidRDefault="00BE7ECA" w:rsidP="00BD68CE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Cell phone or 2-way radio (not to be used during operation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 or hitching/unhitching.</w:t>
            </w:r>
          </w:p>
        </w:tc>
      </w:tr>
      <w:tr w:rsidR="00471A04" w:rsidRPr="00651DFB" w14:paraId="1224B97B" w14:textId="77777777" w:rsidTr="005C55A7">
        <w:tc>
          <w:tcPr>
            <w:tcW w:w="9350" w:type="dxa"/>
            <w:gridSpan w:val="2"/>
          </w:tcPr>
          <w:p w14:paraId="0EB30CF7" w14:textId="77777777" w:rsidR="00471A04" w:rsidRPr="00CF6CD2" w:rsidRDefault="00471A04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Practice:</w:t>
            </w:r>
          </w:p>
          <w:p w14:paraId="0605233F" w14:textId="640F6748" w:rsidR="00471A04" w:rsidRPr="00CF6CD2" w:rsidRDefault="00D863FA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Read the o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>wner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’s manual and familiarize yourself with decals and symbols prior to </w:t>
            </w:r>
            <w:r w:rsidR="00445AF9" w:rsidRPr="00CF6CD2">
              <w:rPr>
                <w:rFonts w:ascii="Source Sans Pro Light" w:hAnsi="Source Sans Pro Light"/>
                <w:sz w:val="22"/>
                <w:szCs w:val="22"/>
              </w:rPr>
              <w:t xml:space="preserve">hitching/unhitching or using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="00471A04" w:rsidRPr="00CF6CD2">
              <w:rPr>
                <w:rFonts w:ascii="Source Sans Pro Light" w:hAnsi="Source Sans Pro Light"/>
                <w:sz w:val="22"/>
                <w:szCs w:val="22"/>
              </w:rPr>
              <w:t xml:space="preserve">. </w:t>
            </w:r>
            <w:r w:rsidR="00440094" w:rsidRPr="00CF6CD2">
              <w:rPr>
                <w:rFonts w:ascii="Source Sans Pro Light" w:hAnsi="Source Sans Pro Light"/>
                <w:sz w:val="22"/>
                <w:szCs w:val="22"/>
              </w:rPr>
              <w:t xml:space="preserve"> Read SWP for implement hitching.</w:t>
            </w:r>
          </w:p>
          <w:p w14:paraId="3A199749" w14:textId="087A2C26" w:rsidR="00EB4FC7" w:rsidRPr="00CF6CD2" w:rsidRDefault="00EB4FC7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Have a first aid kit and fire extinguisher on hand and readily available</w:t>
            </w:r>
            <w:r w:rsidR="00B62C19">
              <w:rPr>
                <w:rFonts w:ascii="Source Sans Pro Light" w:hAnsi="Source Sans Pro Light"/>
                <w:sz w:val="22"/>
                <w:szCs w:val="22"/>
              </w:rPr>
              <w:t xml:space="preserve"> in tow vehicle.</w:t>
            </w:r>
          </w:p>
          <w:p w14:paraId="611751A9" w14:textId="3C2430EC" w:rsidR="00401D61" w:rsidRPr="00CF6CD2" w:rsidRDefault="00401D6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Only trained workers are permitted to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drive with Wagons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7AA16D1" w14:textId="470CC115" w:rsidR="00BD68CE" w:rsidRPr="00CF6CD2" w:rsidRDefault="00BD68CE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Check the work area for hazards </w:t>
            </w:r>
            <w:r w:rsidR="00160F8A" w:rsidRPr="00CF6CD2">
              <w:rPr>
                <w:rFonts w:ascii="Source Sans Pro Light" w:hAnsi="Source Sans Pro Light"/>
                <w:sz w:val="22"/>
                <w:szCs w:val="22"/>
              </w:rPr>
              <w:t xml:space="preserve">including </w:t>
            </w:r>
            <w:r w:rsidR="00B62C19">
              <w:rPr>
                <w:rFonts w:ascii="Source Sans Pro Light" w:hAnsi="Source Sans Pro Light"/>
                <w:sz w:val="22"/>
                <w:szCs w:val="22"/>
              </w:rPr>
              <w:t xml:space="preserve">those </w:t>
            </w:r>
            <w:r w:rsidR="00160F8A" w:rsidRPr="00CF6CD2">
              <w:rPr>
                <w:rFonts w:ascii="Source Sans Pro Light" w:hAnsi="Source Sans Pro Light"/>
                <w:sz w:val="22"/>
                <w:szCs w:val="22"/>
              </w:rPr>
              <w:t>overhea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591FE78" w14:textId="3251B676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Inspect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use.  Do not use if there are deficiencies.</w:t>
            </w:r>
          </w:p>
          <w:p w14:paraId="4926E570" w14:textId="08322D43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the maintenance for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is up to date</w:t>
            </w:r>
            <w:r w:rsidR="00401D61"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6CE39434" w14:textId="193F6286" w:rsidR="00401D61" w:rsidRDefault="00A73F00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Cho</w:t>
            </w:r>
            <w:r w:rsidR="002D4FD1">
              <w:rPr>
                <w:rFonts w:ascii="Source Sans Pro Light" w:hAnsi="Source Sans Pro Light"/>
                <w:sz w:val="22"/>
                <w:szCs w:val="22"/>
              </w:rPr>
              <w:t>o</w:t>
            </w:r>
            <w:r>
              <w:rPr>
                <w:rFonts w:ascii="Source Sans Pro Light" w:hAnsi="Source Sans Pro Light"/>
                <w:sz w:val="22"/>
                <w:szCs w:val="22"/>
              </w:rPr>
              <w:t>se the right tow vehicle and d</w:t>
            </w:r>
            <w:r w:rsidR="00401D61" w:rsidRPr="00CF6CD2">
              <w:rPr>
                <w:rFonts w:ascii="Source Sans Pro Light" w:hAnsi="Source Sans Pro Light"/>
                <w:sz w:val="22"/>
                <w:szCs w:val="22"/>
              </w:rPr>
              <w:t>rive according to conditions.</w:t>
            </w:r>
            <w:r w:rsidR="009C1E1C"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6273E691" w14:textId="7670B686" w:rsidR="00C17C07" w:rsidRPr="00CF6CD2" w:rsidRDefault="00C17C07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on public roads, follow the motor vehicles act and have the correct endorsement for the weight being towed.</w:t>
            </w:r>
          </w:p>
          <w:p w14:paraId="4032FC66" w14:textId="4CF43AF0" w:rsidR="00121171" w:rsidRPr="00CF6CD2" w:rsidRDefault="0012117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adequate clearance for turning when towing.</w:t>
            </w:r>
          </w:p>
          <w:p w14:paraId="61B38C15" w14:textId="1C687F0B" w:rsidR="008060E6" w:rsidRPr="00CF6CD2" w:rsidRDefault="00471A04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Use a slow-moving vehicle sign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if traveling under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40km/hr on public roads.</w:t>
            </w:r>
          </w:p>
          <w:p w14:paraId="3999F6E7" w14:textId="7853E4D1" w:rsidR="00263C69" w:rsidRPr="00CF6CD2" w:rsidRDefault="00263C6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Wear close fitting clothing and contain long hair and beards to prevent entanglement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2D5FAB93" w14:textId="3D1F3583" w:rsidR="00445AF9" w:rsidRPr="00CF6CD2" w:rsidRDefault="00445AF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Ensure correct hitch for the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is used and matches that of the tractor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or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tow vehicle.</w:t>
            </w:r>
          </w:p>
          <w:p w14:paraId="043116A4" w14:textId="193AAC9D" w:rsidR="00DE59DB" w:rsidRPr="00CF6CD2" w:rsidRDefault="00DE59DB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Hitch and unhitch on flat surfaces.</w:t>
            </w:r>
            <w:r w:rsidR="006B1989">
              <w:rPr>
                <w:rFonts w:ascii="Source Sans Pro Light" w:hAnsi="Source Sans Pro Light"/>
                <w:sz w:val="22"/>
                <w:szCs w:val="22"/>
              </w:rPr>
              <w:t xml:space="preserve">  Follow the safe work practice for hitching and unhitching.</w:t>
            </w:r>
          </w:p>
          <w:p w14:paraId="6E47D89A" w14:textId="1F62DA2B" w:rsidR="00401D61" w:rsidRPr="00CF6CD2" w:rsidRDefault="00401D61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Always double check the hitch connection before operation.</w:t>
            </w:r>
            <w:r w:rsidR="006B1989">
              <w:rPr>
                <w:rFonts w:ascii="Source Sans Pro Light" w:hAnsi="Source Sans Pro Light"/>
                <w:sz w:val="22"/>
                <w:szCs w:val="22"/>
              </w:rPr>
              <w:t xml:space="preserve">  Follow the safe work practice for hitching and unhitching.</w:t>
            </w:r>
          </w:p>
          <w:p w14:paraId="7B5F5A79" w14:textId="75885AD7" w:rsidR="007D5D03" w:rsidRPr="00CF6CD2" w:rsidRDefault="007D5D03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Do not step over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hitch – walk around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098CD21" w14:textId="77777777" w:rsidR="006B1989" w:rsidRDefault="00263C69" w:rsidP="006B1989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Clean off steps </w:t>
            </w:r>
            <w:r w:rsidR="00A84818" w:rsidRPr="00CF6CD2">
              <w:rPr>
                <w:rFonts w:ascii="Source Sans Pro Light" w:hAnsi="Source Sans Pro Light"/>
                <w:sz w:val="22"/>
                <w:szCs w:val="22"/>
              </w:rPr>
              <w:t>and platforms free of mud, dirt, snow and ice free.</w:t>
            </w:r>
          </w:p>
          <w:p w14:paraId="23701A6D" w14:textId="5ECA2710" w:rsidR="00EF3F72" w:rsidRPr="006B1989" w:rsidRDefault="00EF3F72" w:rsidP="006B1989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 xml:space="preserve">If equipped with hydraulics, check </w:t>
            </w:r>
            <w:r w:rsidR="00B62C19">
              <w:rPr>
                <w:rFonts w:ascii="Source Sans Pro Light" w:hAnsi="Source Sans Pro Light"/>
                <w:sz w:val="22"/>
                <w:szCs w:val="22"/>
              </w:rPr>
              <w:t>for</w:t>
            </w:r>
            <w:r w:rsidRPr="006B1989">
              <w:rPr>
                <w:rFonts w:ascii="Source Sans Pro Light" w:hAnsi="Source Sans Pro Light"/>
                <w:sz w:val="22"/>
                <w:szCs w:val="22"/>
              </w:rPr>
              <w:t xml:space="preserve"> leaks using cardboard, and release pressure from the system before conducting maintenance and repairs</w:t>
            </w:r>
            <w:r w:rsidR="00B24D1A" w:rsidRPr="006B198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35A60FB" w14:textId="209FC977" w:rsidR="00B24D1A" w:rsidRPr="00CF6CD2" w:rsidRDefault="00B24D1A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Follow Lock out 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 xml:space="preserve">and blocking 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>procedure</w:t>
            </w:r>
            <w:r w:rsidR="009167A3" w:rsidRPr="00CF6CD2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before performing maintenance on the equipment.</w:t>
            </w:r>
          </w:p>
          <w:p w14:paraId="2D009DE4" w14:textId="0C498674" w:rsidR="007438A5" w:rsidRPr="00CF6CD2" w:rsidRDefault="007438A5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Remove debris that collects on the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to prevent fire hazards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 xml:space="preserve"> and road hazards</w:t>
            </w:r>
            <w:r w:rsidR="00B62C19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7BAA9221" w14:textId="722C0416" w:rsidR="006B1989" w:rsidRDefault="00410748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Do not stop, start or change directions suddenly on slopes</w:t>
            </w:r>
            <w:r w:rsidR="00B62C19"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BC0D672" w14:textId="6E292AA6" w:rsidR="00410748" w:rsidRPr="00CF6CD2" w:rsidRDefault="006B1989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riving</w:t>
            </w:r>
            <w:r w:rsidR="00410748" w:rsidRPr="00CF6CD2">
              <w:rPr>
                <w:rFonts w:ascii="Source Sans Pro Light" w:hAnsi="Source Sans Pro Light"/>
                <w:sz w:val="22"/>
                <w:szCs w:val="22"/>
              </w:rPr>
              <w:t xml:space="preserve"> up and down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slopes and hills </w:t>
            </w:r>
            <w:r w:rsidR="00410748" w:rsidRPr="00CF6CD2">
              <w:rPr>
                <w:rFonts w:ascii="Source Sans Pro Light" w:hAnsi="Source Sans Pro Light"/>
                <w:sz w:val="22"/>
                <w:szCs w:val="22"/>
              </w:rPr>
              <w:t>is preferred.</w:t>
            </w:r>
          </w:p>
          <w:p w14:paraId="2E677AF0" w14:textId="645764BE" w:rsidR="00890AFB" w:rsidRDefault="00890AFB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Do not modify </w:t>
            </w:r>
            <w:r w:rsidR="00C17C07">
              <w:rPr>
                <w:rFonts w:ascii="Source Sans Pro Light" w:hAnsi="Source Sans Pro Light"/>
                <w:sz w:val="22"/>
                <w:szCs w:val="22"/>
              </w:rPr>
              <w:t>the wagon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unless approved by the manufacturer.</w:t>
            </w:r>
          </w:p>
          <w:p w14:paraId="07C0CA28" w14:textId="51AF370D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Ensure your tow vehicle is capable of towing the wagon at its’ capacity.</w:t>
            </w:r>
          </w:p>
          <w:p w14:paraId="2A17240E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Do not load wagon over the recommended weight as per manufacturers manual.</w:t>
            </w:r>
          </w:p>
          <w:p w14:paraId="20F3F5B1" w14:textId="22008888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Use lower gears in the tow vehicle when going up and down hills with a full load.</w:t>
            </w:r>
          </w:p>
          <w:p w14:paraId="6FEC2587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Reduce the travel speed the heavier the load.</w:t>
            </w:r>
          </w:p>
          <w:p w14:paraId="13E797F7" w14:textId="77777777" w:rsidR="00827ABD" w:rsidRPr="006B1989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Reduce speed if the wagon starts to bounce, sway, fishtail or weave.</w:t>
            </w:r>
          </w:p>
          <w:p w14:paraId="49DFCF0E" w14:textId="08BBD665" w:rsidR="00827ABD" w:rsidRDefault="00827ABD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6B1989">
              <w:rPr>
                <w:rFonts w:ascii="Source Sans Pro Light" w:hAnsi="Source Sans Pro Light"/>
                <w:sz w:val="22"/>
                <w:szCs w:val="22"/>
              </w:rPr>
              <w:t>Do not make any adjustments while the wagon is operating.</w:t>
            </w:r>
          </w:p>
          <w:p w14:paraId="291C8615" w14:textId="28BFC1BE" w:rsidR="00A95D78" w:rsidRPr="006B1989" w:rsidRDefault="00A95D78" w:rsidP="00827ABD">
            <w:pPr>
              <w:pStyle w:val="ListParagraph"/>
              <w:numPr>
                <w:ilvl w:val="0"/>
                <w:numId w:val="49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all decals and labels are legible.</w:t>
            </w:r>
          </w:p>
          <w:p w14:paraId="5CA0713B" w14:textId="0457B4E7" w:rsidR="003D11A9" w:rsidRPr="00254B42" w:rsidRDefault="003D11A9" w:rsidP="00DE13A0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52423E06" w14:textId="1A4DF57E" w:rsidTr="00BE7ECA">
        <w:tc>
          <w:tcPr>
            <w:tcW w:w="2895" w:type="dxa"/>
          </w:tcPr>
          <w:p w14:paraId="15FE279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6455" w:type="dxa"/>
          </w:tcPr>
          <w:p w14:paraId="3BCF9D71" w14:textId="42CD3723" w:rsidR="00BE7ECA" w:rsidRPr="00651DFB" w:rsidRDefault="00471A04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40166D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immediately.  Remove yourself from harm’s way and ensure no one else is at risk.</w:t>
            </w:r>
          </w:p>
        </w:tc>
      </w:tr>
    </w:tbl>
    <w:p w14:paraId="1CF899E9" w14:textId="77777777" w:rsidR="00A6062D" w:rsidRPr="00651DFB" w:rsidRDefault="00A6062D" w:rsidP="00FF42F5">
      <w:pPr>
        <w:rPr>
          <w:rFonts w:ascii="Source Sans Pro Light" w:hAnsi="Source Sans Pro Light"/>
          <w:smallCaps/>
          <w:sz w:val="22"/>
          <w:szCs w:val="22"/>
        </w:rPr>
      </w:pPr>
    </w:p>
    <w:sectPr w:rsidR="00A6062D" w:rsidRPr="00651DFB" w:rsidSect="00F27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D58C" w14:textId="77777777" w:rsidR="0081680E" w:rsidRDefault="0081680E" w:rsidP="00FF42F5">
      <w:pPr>
        <w:spacing w:line="240" w:lineRule="auto"/>
      </w:pPr>
      <w:r>
        <w:separator/>
      </w:r>
    </w:p>
  </w:endnote>
  <w:endnote w:type="continuationSeparator" w:id="0">
    <w:p w14:paraId="0714F132" w14:textId="77777777" w:rsidR="0081680E" w:rsidRDefault="0081680E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A4B2" w14:textId="641B60A7" w:rsidR="00BD68CE" w:rsidRPr="005B3608" w:rsidRDefault="005B3608" w:rsidP="005B3608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3B1D5" w14:textId="77777777" w:rsidR="0081680E" w:rsidRDefault="0081680E" w:rsidP="00FF42F5">
      <w:pPr>
        <w:spacing w:line="240" w:lineRule="auto"/>
      </w:pPr>
      <w:r>
        <w:separator/>
      </w:r>
    </w:p>
  </w:footnote>
  <w:footnote w:type="continuationSeparator" w:id="0">
    <w:p w14:paraId="4D01E966" w14:textId="77777777" w:rsidR="0081680E" w:rsidRDefault="0081680E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6761" w14:textId="56E70557" w:rsidR="001C55BF" w:rsidRPr="00651DFB" w:rsidRDefault="00254B42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475FC8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 xml:space="preserve">Wagon </w:t>
    </w:r>
    <w:r w:rsidR="00DD548B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>SAFE WORK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3BF3"/>
    <w:multiLevelType w:val="hybridMultilevel"/>
    <w:tmpl w:val="83827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F92"/>
    <w:multiLevelType w:val="hybridMultilevel"/>
    <w:tmpl w:val="7406A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C5AC6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463F2"/>
    <w:multiLevelType w:val="hybridMultilevel"/>
    <w:tmpl w:val="1C24D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164CE"/>
    <w:multiLevelType w:val="hybridMultilevel"/>
    <w:tmpl w:val="F4064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309A6"/>
    <w:multiLevelType w:val="hybridMultilevel"/>
    <w:tmpl w:val="B010F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D62A5"/>
    <w:multiLevelType w:val="hybridMultilevel"/>
    <w:tmpl w:val="AAC4C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42"/>
  </w:num>
  <w:num w:numId="6">
    <w:abstractNumId w:val="10"/>
  </w:num>
  <w:num w:numId="7">
    <w:abstractNumId w:val="44"/>
  </w:num>
  <w:num w:numId="8">
    <w:abstractNumId w:val="28"/>
  </w:num>
  <w:num w:numId="9">
    <w:abstractNumId w:val="26"/>
  </w:num>
  <w:num w:numId="10">
    <w:abstractNumId w:val="20"/>
  </w:num>
  <w:num w:numId="11">
    <w:abstractNumId w:val="24"/>
  </w:num>
  <w:num w:numId="12">
    <w:abstractNumId w:val="5"/>
  </w:num>
  <w:num w:numId="13">
    <w:abstractNumId w:val="45"/>
  </w:num>
  <w:num w:numId="14">
    <w:abstractNumId w:val="39"/>
  </w:num>
  <w:num w:numId="15">
    <w:abstractNumId w:val="4"/>
  </w:num>
  <w:num w:numId="16">
    <w:abstractNumId w:val="37"/>
  </w:num>
  <w:num w:numId="17">
    <w:abstractNumId w:val="12"/>
  </w:num>
  <w:num w:numId="18">
    <w:abstractNumId w:val="8"/>
  </w:num>
  <w:num w:numId="19">
    <w:abstractNumId w:val="25"/>
  </w:num>
  <w:num w:numId="20">
    <w:abstractNumId w:val="48"/>
  </w:num>
  <w:num w:numId="21">
    <w:abstractNumId w:val="22"/>
  </w:num>
  <w:num w:numId="22">
    <w:abstractNumId w:val="32"/>
  </w:num>
  <w:num w:numId="23">
    <w:abstractNumId w:val="33"/>
  </w:num>
  <w:num w:numId="24">
    <w:abstractNumId w:val="36"/>
  </w:num>
  <w:num w:numId="25">
    <w:abstractNumId w:val="41"/>
  </w:num>
  <w:num w:numId="26">
    <w:abstractNumId w:val="47"/>
  </w:num>
  <w:num w:numId="27">
    <w:abstractNumId w:val="16"/>
  </w:num>
  <w:num w:numId="28">
    <w:abstractNumId w:val="6"/>
  </w:num>
  <w:num w:numId="29">
    <w:abstractNumId w:val="14"/>
  </w:num>
  <w:num w:numId="30">
    <w:abstractNumId w:val="3"/>
  </w:num>
  <w:num w:numId="31">
    <w:abstractNumId w:val="35"/>
  </w:num>
  <w:num w:numId="32">
    <w:abstractNumId w:val="7"/>
  </w:num>
  <w:num w:numId="33">
    <w:abstractNumId w:val="38"/>
  </w:num>
  <w:num w:numId="34">
    <w:abstractNumId w:val="15"/>
  </w:num>
  <w:num w:numId="35">
    <w:abstractNumId w:val="27"/>
  </w:num>
  <w:num w:numId="36">
    <w:abstractNumId w:val="29"/>
  </w:num>
  <w:num w:numId="37">
    <w:abstractNumId w:val="43"/>
  </w:num>
  <w:num w:numId="38">
    <w:abstractNumId w:val="18"/>
  </w:num>
  <w:num w:numId="39">
    <w:abstractNumId w:val="34"/>
  </w:num>
  <w:num w:numId="40">
    <w:abstractNumId w:val="31"/>
  </w:num>
  <w:num w:numId="41">
    <w:abstractNumId w:val="1"/>
  </w:num>
  <w:num w:numId="42">
    <w:abstractNumId w:val="49"/>
  </w:num>
  <w:num w:numId="43">
    <w:abstractNumId w:val="30"/>
  </w:num>
  <w:num w:numId="44">
    <w:abstractNumId w:val="23"/>
  </w:num>
  <w:num w:numId="45">
    <w:abstractNumId w:val="17"/>
  </w:num>
  <w:num w:numId="46">
    <w:abstractNumId w:val="0"/>
  </w:num>
  <w:num w:numId="47">
    <w:abstractNumId w:val="13"/>
  </w:num>
  <w:num w:numId="48">
    <w:abstractNumId w:val="2"/>
  </w:num>
  <w:num w:numId="49">
    <w:abstractNumId w:val="46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1"/>
    <w:rsid w:val="00026657"/>
    <w:rsid w:val="00032738"/>
    <w:rsid w:val="00086346"/>
    <w:rsid w:val="000C0950"/>
    <w:rsid w:val="000E1884"/>
    <w:rsid w:val="00121171"/>
    <w:rsid w:val="00126E84"/>
    <w:rsid w:val="0013004F"/>
    <w:rsid w:val="001343DC"/>
    <w:rsid w:val="00134C31"/>
    <w:rsid w:val="00146F5B"/>
    <w:rsid w:val="00160F8A"/>
    <w:rsid w:val="00172A1B"/>
    <w:rsid w:val="00182211"/>
    <w:rsid w:val="001862CD"/>
    <w:rsid w:val="0019133A"/>
    <w:rsid w:val="00194271"/>
    <w:rsid w:val="001A22EA"/>
    <w:rsid w:val="001C55BF"/>
    <w:rsid w:val="001E3DCD"/>
    <w:rsid w:val="001E5F7D"/>
    <w:rsid w:val="001E64B6"/>
    <w:rsid w:val="001F6BC9"/>
    <w:rsid w:val="00224C30"/>
    <w:rsid w:val="002405D0"/>
    <w:rsid w:val="00242379"/>
    <w:rsid w:val="002436F3"/>
    <w:rsid w:val="00254B42"/>
    <w:rsid w:val="00263C69"/>
    <w:rsid w:val="002C61E3"/>
    <w:rsid w:val="002D4FD1"/>
    <w:rsid w:val="00304877"/>
    <w:rsid w:val="00314B24"/>
    <w:rsid w:val="0036426E"/>
    <w:rsid w:val="00377A9D"/>
    <w:rsid w:val="00380D52"/>
    <w:rsid w:val="003D11A9"/>
    <w:rsid w:val="003D1F9C"/>
    <w:rsid w:val="003D2E42"/>
    <w:rsid w:val="003E6154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1A04"/>
    <w:rsid w:val="00471E96"/>
    <w:rsid w:val="00475FC8"/>
    <w:rsid w:val="0047610C"/>
    <w:rsid w:val="004843E6"/>
    <w:rsid w:val="004A01DD"/>
    <w:rsid w:val="004B7B5D"/>
    <w:rsid w:val="004C1FF4"/>
    <w:rsid w:val="004C52F3"/>
    <w:rsid w:val="004C71FB"/>
    <w:rsid w:val="004C75D1"/>
    <w:rsid w:val="004D0EC1"/>
    <w:rsid w:val="00515076"/>
    <w:rsid w:val="00540D1B"/>
    <w:rsid w:val="005529BF"/>
    <w:rsid w:val="0055654E"/>
    <w:rsid w:val="00563422"/>
    <w:rsid w:val="00586B13"/>
    <w:rsid w:val="00597C7D"/>
    <w:rsid w:val="005B3608"/>
    <w:rsid w:val="005C2BDE"/>
    <w:rsid w:val="005D3C9F"/>
    <w:rsid w:val="005E3142"/>
    <w:rsid w:val="005E40BB"/>
    <w:rsid w:val="005F1791"/>
    <w:rsid w:val="00604027"/>
    <w:rsid w:val="006211A2"/>
    <w:rsid w:val="00632FB6"/>
    <w:rsid w:val="00651DFB"/>
    <w:rsid w:val="00663075"/>
    <w:rsid w:val="00680E8C"/>
    <w:rsid w:val="006B1989"/>
    <w:rsid w:val="006C50EE"/>
    <w:rsid w:val="006E2DFD"/>
    <w:rsid w:val="006F0032"/>
    <w:rsid w:val="007438A5"/>
    <w:rsid w:val="007609A4"/>
    <w:rsid w:val="007734EB"/>
    <w:rsid w:val="007C0B5E"/>
    <w:rsid w:val="007D5270"/>
    <w:rsid w:val="007D5D03"/>
    <w:rsid w:val="007E079B"/>
    <w:rsid w:val="008060E6"/>
    <w:rsid w:val="0081680E"/>
    <w:rsid w:val="00827ABD"/>
    <w:rsid w:val="00847EE7"/>
    <w:rsid w:val="008732EB"/>
    <w:rsid w:val="00875EA5"/>
    <w:rsid w:val="00890AFB"/>
    <w:rsid w:val="008B6BB5"/>
    <w:rsid w:val="00902089"/>
    <w:rsid w:val="0090481F"/>
    <w:rsid w:val="00904A16"/>
    <w:rsid w:val="009167A3"/>
    <w:rsid w:val="009261B0"/>
    <w:rsid w:val="009314AE"/>
    <w:rsid w:val="009718EA"/>
    <w:rsid w:val="009B7BB2"/>
    <w:rsid w:val="009C1E1C"/>
    <w:rsid w:val="009C6AB6"/>
    <w:rsid w:val="009C7494"/>
    <w:rsid w:val="009D016D"/>
    <w:rsid w:val="009D09C2"/>
    <w:rsid w:val="009D1488"/>
    <w:rsid w:val="009E47E5"/>
    <w:rsid w:val="009E60C3"/>
    <w:rsid w:val="009F7840"/>
    <w:rsid w:val="00A20A8E"/>
    <w:rsid w:val="00A4153B"/>
    <w:rsid w:val="00A56C78"/>
    <w:rsid w:val="00A6062D"/>
    <w:rsid w:val="00A70486"/>
    <w:rsid w:val="00A73F00"/>
    <w:rsid w:val="00A75245"/>
    <w:rsid w:val="00A84818"/>
    <w:rsid w:val="00A95D78"/>
    <w:rsid w:val="00AC58AE"/>
    <w:rsid w:val="00AC5A98"/>
    <w:rsid w:val="00AE2A22"/>
    <w:rsid w:val="00AE77AB"/>
    <w:rsid w:val="00AF084A"/>
    <w:rsid w:val="00B04D1D"/>
    <w:rsid w:val="00B11F30"/>
    <w:rsid w:val="00B24D1A"/>
    <w:rsid w:val="00B473DA"/>
    <w:rsid w:val="00B5323A"/>
    <w:rsid w:val="00B62C19"/>
    <w:rsid w:val="00B72E2B"/>
    <w:rsid w:val="00B865BF"/>
    <w:rsid w:val="00B96CE2"/>
    <w:rsid w:val="00B96DCF"/>
    <w:rsid w:val="00BC3038"/>
    <w:rsid w:val="00BD68CE"/>
    <w:rsid w:val="00BE7ECA"/>
    <w:rsid w:val="00C019E2"/>
    <w:rsid w:val="00C069FB"/>
    <w:rsid w:val="00C17382"/>
    <w:rsid w:val="00C17C07"/>
    <w:rsid w:val="00C37378"/>
    <w:rsid w:val="00C8685D"/>
    <w:rsid w:val="00CC26E4"/>
    <w:rsid w:val="00CD256E"/>
    <w:rsid w:val="00CE2D1D"/>
    <w:rsid w:val="00CF3032"/>
    <w:rsid w:val="00CF630C"/>
    <w:rsid w:val="00CF6CD2"/>
    <w:rsid w:val="00CF7FFC"/>
    <w:rsid w:val="00D4720C"/>
    <w:rsid w:val="00D577AB"/>
    <w:rsid w:val="00D65FA3"/>
    <w:rsid w:val="00D75135"/>
    <w:rsid w:val="00D7662E"/>
    <w:rsid w:val="00D863FA"/>
    <w:rsid w:val="00D96023"/>
    <w:rsid w:val="00DC5923"/>
    <w:rsid w:val="00DD548B"/>
    <w:rsid w:val="00DE13A0"/>
    <w:rsid w:val="00DE59DB"/>
    <w:rsid w:val="00DF7C7E"/>
    <w:rsid w:val="00E31017"/>
    <w:rsid w:val="00EA294E"/>
    <w:rsid w:val="00EB4FC7"/>
    <w:rsid w:val="00EF3F72"/>
    <w:rsid w:val="00EF463F"/>
    <w:rsid w:val="00F03AFA"/>
    <w:rsid w:val="00F06489"/>
    <w:rsid w:val="00F10ADA"/>
    <w:rsid w:val="00F27F71"/>
    <w:rsid w:val="00F34FDE"/>
    <w:rsid w:val="00F47914"/>
    <w:rsid w:val="00F5053C"/>
    <w:rsid w:val="00F807BB"/>
    <w:rsid w:val="00F97832"/>
    <w:rsid w:val="00FA4264"/>
    <w:rsid w:val="00FD5419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333D-0ED1-4FC0-BF3B-D165631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Lori Brookhouse</cp:lastModifiedBy>
  <cp:revision>31</cp:revision>
  <dcterms:created xsi:type="dcterms:W3CDTF">2020-02-27T18:24:00Z</dcterms:created>
  <dcterms:modified xsi:type="dcterms:W3CDTF">2020-11-02T15:47:00Z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