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D1488" w:rsidRPr="00651DFB" w14:paraId="01B03435" w14:textId="77777777" w:rsidTr="009D1488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35235D" w14:textId="77777777" w:rsidR="009D1488" w:rsidRPr="00651DFB" w:rsidRDefault="009D1488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>Revision #:</w:t>
            </w:r>
          </w:p>
          <w:p w14:paraId="099A9096" w14:textId="77777777" w:rsidR="009D1488" w:rsidRPr="00651DFB" w:rsidRDefault="009D1488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9A99041" w14:textId="77777777" w:rsidR="009D1488" w:rsidRPr="00651DFB" w:rsidRDefault="009D1488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>Written by: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FC536" w14:textId="77777777" w:rsidR="009D1488" w:rsidRPr="00651DFB" w:rsidRDefault="009D1488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>Date:</w:t>
            </w:r>
            <w:r w:rsidRPr="00651DFB">
              <w:rPr>
                <w:rFonts w:ascii="Source Sans Pro Light" w:hAnsi="Source Sans Pro Light"/>
                <w:sz w:val="22"/>
                <w:szCs w:val="22"/>
              </w:rPr>
              <w:tab/>
              <w:t>Month DD, YYYY</w:t>
            </w:r>
          </w:p>
          <w:p w14:paraId="7D0D79E9" w14:textId="77777777" w:rsidR="009D1488" w:rsidRPr="00651DFB" w:rsidRDefault="009D1488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90AE2EC" w14:textId="77777777" w:rsidR="009D1488" w:rsidRPr="00651DFB" w:rsidRDefault="009D1488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>Approved by:</w:t>
            </w:r>
          </w:p>
        </w:tc>
      </w:tr>
    </w:tbl>
    <w:p w14:paraId="22C0AB90" w14:textId="77777777" w:rsidR="00875EA5" w:rsidRPr="00651DFB" w:rsidRDefault="00875EA5" w:rsidP="00FF42F5">
      <w:pPr>
        <w:rPr>
          <w:rFonts w:ascii="Source Sans Pro Light" w:hAnsi="Source Sans Pro Light"/>
          <w:smallCap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5"/>
        <w:gridCol w:w="6455"/>
      </w:tblGrid>
      <w:tr w:rsidR="00BE7ECA" w:rsidRPr="00651DFB" w14:paraId="3E6210EE" w14:textId="79C392E1" w:rsidTr="00BE7ECA">
        <w:tc>
          <w:tcPr>
            <w:tcW w:w="2895" w:type="dxa"/>
          </w:tcPr>
          <w:p w14:paraId="22695802" w14:textId="77777777" w:rsidR="00BE7ECA" w:rsidRPr="00CF6CD2" w:rsidRDefault="00BE7ECA" w:rsidP="00B45A8A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CF6CD2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Related Documents: </w:t>
            </w:r>
            <w:r w:rsidRPr="00CF6CD2">
              <w:rPr>
                <w:rFonts w:ascii="Source Sans Pro Semibold" w:hAnsi="Source Sans Pro Semibold"/>
                <w:sz w:val="22"/>
                <w:szCs w:val="22"/>
              </w:rPr>
              <w:t xml:space="preserve"> </w:t>
            </w:r>
          </w:p>
        </w:tc>
        <w:tc>
          <w:tcPr>
            <w:tcW w:w="6455" w:type="dxa"/>
          </w:tcPr>
          <w:p w14:paraId="59F886F6" w14:textId="7FC5D7ED" w:rsidR="004C1FF4" w:rsidRPr="0055654E" w:rsidRDefault="004C1FF4" w:rsidP="0055654E">
            <w:pPr>
              <w:pStyle w:val="ListParagraph"/>
              <w:numPr>
                <w:ilvl w:val="0"/>
                <w:numId w:val="27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55654E">
              <w:rPr>
                <w:rFonts w:ascii="Source Sans Pro Light" w:hAnsi="Source Sans Pro Light"/>
                <w:sz w:val="22"/>
                <w:szCs w:val="22"/>
              </w:rPr>
              <w:t xml:space="preserve">Owner’s Manual </w:t>
            </w:r>
            <w:r w:rsidR="004446DD">
              <w:rPr>
                <w:rFonts w:ascii="Source Sans Pro Light" w:hAnsi="Source Sans Pro Light"/>
                <w:sz w:val="22"/>
                <w:szCs w:val="22"/>
              </w:rPr>
              <w:t>for each implement listed below</w:t>
            </w:r>
            <w:r w:rsidRPr="0055654E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79843EA3" w14:textId="6E9EFF7D" w:rsidR="00BE7ECA" w:rsidRPr="0055654E" w:rsidRDefault="004C1FF4" w:rsidP="0055654E">
            <w:pPr>
              <w:pStyle w:val="ListParagraph"/>
              <w:numPr>
                <w:ilvl w:val="0"/>
                <w:numId w:val="27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55654E">
              <w:rPr>
                <w:rFonts w:ascii="Source Sans Pro Light" w:hAnsi="Source Sans Pro Light"/>
                <w:sz w:val="22"/>
                <w:szCs w:val="22"/>
              </w:rPr>
              <w:t>P</w:t>
            </w:r>
            <w:r w:rsidR="00BE7ECA" w:rsidRPr="0055654E">
              <w:rPr>
                <w:rFonts w:ascii="Source Sans Pro Light" w:hAnsi="Source Sans Pro Light"/>
                <w:sz w:val="22"/>
                <w:szCs w:val="22"/>
              </w:rPr>
              <w:t xml:space="preserve">owered Mobile Equipment </w:t>
            </w:r>
            <w:r w:rsidR="004446DD">
              <w:rPr>
                <w:rFonts w:ascii="Source Sans Pro Light" w:hAnsi="Source Sans Pro Light"/>
                <w:sz w:val="22"/>
                <w:szCs w:val="22"/>
              </w:rPr>
              <w:t xml:space="preserve">and Tractor </w:t>
            </w:r>
            <w:r w:rsidR="006C3649">
              <w:rPr>
                <w:rFonts w:ascii="Source Sans Pro Light" w:hAnsi="Source Sans Pro Light"/>
                <w:sz w:val="22"/>
                <w:szCs w:val="22"/>
              </w:rPr>
              <w:t xml:space="preserve">Operation </w:t>
            </w:r>
            <w:r w:rsidR="00BE7ECA" w:rsidRPr="0055654E">
              <w:rPr>
                <w:rFonts w:ascii="Source Sans Pro Light" w:hAnsi="Source Sans Pro Light"/>
                <w:sz w:val="22"/>
                <w:szCs w:val="22"/>
              </w:rPr>
              <w:t>Safe Work Practice</w:t>
            </w:r>
          </w:p>
          <w:p w14:paraId="2FC4BF92" w14:textId="7D2952A9" w:rsidR="00BE7ECA" w:rsidRPr="0055654E" w:rsidRDefault="006C3649" w:rsidP="0055654E">
            <w:pPr>
              <w:pStyle w:val="ListParagraph"/>
              <w:numPr>
                <w:ilvl w:val="0"/>
                <w:numId w:val="27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Safe Work Practice </w:t>
            </w:r>
            <w:r w:rsidR="00BE7ECA" w:rsidRPr="0055654E">
              <w:rPr>
                <w:rFonts w:ascii="Source Sans Pro Light" w:hAnsi="Source Sans Pro Light"/>
                <w:sz w:val="22"/>
                <w:szCs w:val="22"/>
              </w:rPr>
              <w:t>Refueling Procedure</w:t>
            </w:r>
          </w:p>
          <w:p w14:paraId="5EE6ACBC" w14:textId="4C328D5C" w:rsidR="00D863FA" w:rsidRPr="00651DFB" w:rsidRDefault="00D863FA" w:rsidP="006C3649">
            <w:pPr>
              <w:pStyle w:val="ListParagraph"/>
              <w:ind w:left="360"/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BE7ECA" w:rsidRPr="00651DFB" w14:paraId="7AA5B07F" w14:textId="5A5E6516" w:rsidTr="00BE7ECA">
        <w:tc>
          <w:tcPr>
            <w:tcW w:w="2895" w:type="dxa"/>
          </w:tcPr>
          <w:p w14:paraId="7EB180C3" w14:textId="77777777" w:rsidR="00BE7ECA" w:rsidRPr="00CF6CD2" w:rsidRDefault="00BE7ECA" w:rsidP="00B45A8A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CF6CD2">
              <w:rPr>
                <w:rFonts w:ascii="Source Sans Pro Semibold" w:hAnsi="Source Sans Pro Semibold"/>
                <w:smallCaps/>
                <w:sz w:val="22"/>
                <w:szCs w:val="22"/>
              </w:rPr>
              <w:t>When to use this WWP</w:t>
            </w:r>
            <w:r w:rsidRPr="00CF6CD2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</w:tc>
        <w:tc>
          <w:tcPr>
            <w:tcW w:w="6455" w:type="dxa"/>
          </w:tcPr>
          <w:p w14:paraId="3D499C42" w14:textId="188B9EBA" w:rsidR="00BE7ECA" w:rsidRPr="00651DFB" w:rsidRDefault="00BE7ECA" w:rsidP="00B45A8A">
            <w:pPr>
              <w:rPr>
                <w:rFonts w:ascii="Source Sans Pro Light" w:eastAsiaTheme="minorHAnsi" w:hAnsi="Source Sans Pro Light" w:cs="TimesNewRoman"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 xml:space="preserve">This SWP is to be used when </w:t>
            </w:r>
            <w:r w:rsidR="004446DD">
              <w:rPr>
                <w:rFonts w:ascii="Source Sans Pro Light" w:hAnsi="Source Sans Pro Light"/>
                <w:sz w:val="22"/>
                <w:szCs w:val="22"/>
              </w:rPr>
              <w:t xml:space="preserve">using </w:t>
            </w:r>
            <w:r w:rsidR="00A57717">
              <w:rPr>
                <w:rFonts w:ascii="Source Sans Pro Light" w:hAnsi="Source Sans Pro Light"/>
                <w:sz w:val="22"/>
                <w:szCs w:val="22"/>
              </w:rPr>
              <w:t xml:space="preserve">farm equipment </w:t>
            </w:r>
            <w:r w:rsidR="004446DD">
              <w:rPr>
                <w:rFonts w:ascii="Source Sans Pro Light" w:hAnsi="Source Sans Pro Light"/>
                <w:sz w:val="22"/>
                <w:szCs w:val="22"/>
              </w:rPr>
              <w:t>for farming operations</w:t>
            </w:r>
            <w:r w:rsidRPr="00651DFB">
              <w:rPr>
                <w:rFonts w:ascii="Source Sans Pro Light" w:hAnsi="Source Sans Pro Light"/>
                <w:sz w:val="22"/>
                <w:szCs w:val="22"/>
              </w:rPr>
              <w:t xml:space="preserve">.  It is important for all employees to follow the safe work practices and to refer to the operator’s manual prior to </w:t>
            </w:r>
            <w:r w:rsidR="004446DD">
              <w:rPr>
                <w:rFonts w:ascii="Source Sans Pro Light" w:hAnsi="Source Sans Pro Light"/>
                <w:sz w:val="22"/>
                <w:szCs w:val="22"/>
              </w:rPr>
              <w:t xml:space="preserve">hitching and operating the </w:t>
            </w:r>
            <w:r w:rsidR="00A57717">
              <w:rPr>
                <w:rFonts w:ascii="Source Sans Pro Light" w:hAnsi="Source Sans Pro Light"/>
                <w:sz w:val="22"/>
                <w:szCs w:val="22"/>
              </w:rPr>
              <w:t>farm equipment</w:t>
            </w:r>
            <w:r w:rsidRPr="00651DFB">
              <w:rPr>
                <w:rFonts w:ascii="Source Sans Pro Light" w:hAnsi="Source Sans Pro Light"/>
                <w:sz w:val="22"/>
                <w:szCs w:val="22"/>
              </w:rPr>
              <w:t>. Operators must have a valid driver’s license to operate a tractor</w:t>
            </w:r>
            <w:r w:rsidR="004446DD">
              <w:rPr>
                <w:rFonts w:ascii="Source Sans Pro Light" w:hAnsi="Source Sans Pro Light"/>
                <w:sz w:val="22"/>
                <w:szCs w:val="22"/>
              </w:rPr>
              <w:t xml:space="preserve"> or tow vehicle.</w:t>
            </w:r>
          </w:p>
          <w:p w14:paraId="7258EC42" w14:textId="4BFC64A5" w:rsidR="00D863FA" w:rsidRPr="00651DFB" w:rsidRDefault="00D863FA" w:rsidP="00B45A8A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BE7ECA" w:rsidRPr="00651DFB" w14:paraId="266CADEC" w14:textId="586C9610" w:rsidTr="00BE7ECA">
        <w:tc>
          <w:tcPr>
            <w:tcW w:w="2895" w:type="dxa"/>
          </w:tcPr>
          <w:p w14:paraId="4170FB7C" w14:textId="47DE342A" w:rsidR="00BE7ECA" w:rsidRPr="00CF6CD2" w:rsidRDefault="00BE7ECA" w:rsidP="00B45A8A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CF6CD2">
              <w:rPr>
                <w:rFonts w:ascii="Source Sans Pro Semibold" w:hAnsi="Source Sans Pro Semibold"/>
                <w:smallCaps/>
                <w:sz w:val="22"/>
                <w:szCs w:val="22"/>
              </w:rPr>
              <w:t>Hazards &amp; Risks:</w:t>
            </w:r>
          </w:p>
        </w:tc>
        <w:tc>
          <w:tcPr>
            <w:tcW w:w="6455" w:type="dxa"/>
          </w:tcPr>
          <w:p w14:paraId="6B88831C" w14:textId="77777777" w:rsidR="00D96023" w:rsidRPr="005A3D4A" w:rsidRDefault="00D96023" w:rsidP="00D96023">
            <w:pPr>
              <w:pStyle w:val="ListParagraph"/>
              <w:numPr>
                <w:ilvl w:val="0"/>
                <w:numId w:val="2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5A3D4A">
              <w:rPr>
                <w:rFonts w:ascii="Source Sans Pro Light" w:hAnsi="Source Sans Pro Light"/>
                <w:sz w:val="22"/>
              </w:rPr>
              <w:t xml:space="preserve">Crushing </w:t>
            </w:r>
          </w:p>
          <w:p w14:paraId="6F1AA9AD" w14:textId="77777777" w:rsidR="00D96023" w:rsidRPr="005A3D4A" w:rsidRDefault="00D96023" w:rsidP="00D96023">
            <w:pPr>
              <w:pStyle w:val="ListParagraph"/>
              <w:numPr>
                <w:ilvl w:val="0"/>
                <w:numId w:val="23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Runover</w:t>
            </w:r>
          </w:p>
          <w:p w14:paraId="6CEC5040" w14:textId="77777777" w:rsidR="00D96023" w:rsidRPr="005A3D4A" w:rsidRDefault="00D96023" w:rsidP="00D96023">
            <w:pPr>
              <w:pStyle w:val="ListParagraph"/>
              <w:numPr>
                <w:ilvl w:val="0"/>
                <w:numId w:val="23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Falls</w:t>
            </w:r>
          </w:p>
          <w:p w14:paraId="40CF9193" w14:textId="77777777" w:rsidR="00D96023" w:rsidRPr="005A3D4A" w:rsidRDefault="00D96023" w:rsidP="00D96023">
            <w:pPr>
              <w:pStyle w:val="ListParagraph"/>
              <w:numPr>
                <w:ilvl w:val="0"/>
                <w:numId w:val="23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Entanglement</w:t>
            </w:r>
          </w:p>
          <w:p w14:paraId="1E8EE8DF" w14:textId="129818AD" w:rsidR="00D96023" w:rsidRPr="00D96023" w:rsidRDefault="00D96023" w:rsidP="00D96023">
            <w:pPr>
              <w:pStyle w:val="ListParagraph"/>
              <w:numPr>
                <w:ilvl w:val="0"/>
                <w:numId w:val="23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Collisions</w:t>
            </w:r>
          </w:p>
          <w:p w14:paraId="6FF765CF" w14:textId="0F511D21" w:rsidR="00D96023" w:rsidRPr="00D96023" w:rsidRDefault="00D96023" w:rsidP="00D96023">
            <w:pPr>
              <w:pStyle w:val="ListParagraph"/>
              <w:numPr>
                <w:ilvl w:val="0"/>
                <w:numId w:val="23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PTO</w:t>
            </w:r>
          </w:p>
          <w:p w14:paraId="35D725A0" w14:textId="5C85CA35" w:rsidR="00D96023" w:rsidRPr="00651DFB" w:rsidRDefault="00D96023" w:rsidP="00D96023">
            <w:pPr>
              <w:pStyle w:val="ListParagraph"/>
              <w:numPr>
                <w:ilvl w:val="0"/>
                <w:numId w:val="23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Electrocution</w:t>
            </w:r>
          </w:p>
          <w:p w14:paraId="58C5C7D7" w14:textId="28176484" w:rsidR="00D863FA" w:rsidRPr="00651DFB" w:rsidRDefault="00D863FA" w:rsidP="00D863FA">
            <w:pPr>
              <w:pStyle w:val="ListParagraph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BE7ECA" w:rsidRPr="00651DFB" w14:paraId="50395B54" w14:textId="4BF34A56" w:rsidTr="00BE7ECA">
        <w:tc>
          <w:tcPr>
            <w:tcW w:w="2895" w:type="dxa"/>
          </w:tcPr>
          <w:p w14:paraId="0D31F2B9" w14:textId="77777777" w:rsidR="00BE7ECA" w:rsidRPr="00CF6CD2" w:rsidRDefault="00BE7ECA" w:rsidP="00B45A8A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CF6CD2">
              <w:rPr>
                <w:rFonts w:ascii="Source Sans Pro Semibold" w:hAnsi="Source Sans Pro Semibold"/>
                <w:smallCaps/>
                <w:sz w:val="22"/>
                <w:szCs w:val="22"/>
              </w:rPr>
              <w:t>Personal Protective Equipment:</w:t>
            </w:r>
          </w:p>
        </w:tc>
        <w:tc>
          <w:tcPr>
            <w:tcW w:w="6455" w:type="dxa"/>
          </w:tcPr>
          <w:p w14:paraId="4743E250" w14:textId="1EAB8B69" w:rsidR="00BE7ECA" w:rsidRDefault="00BE7ECA" w:rsidP="00B45A8A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>The personal protective equipment required will depend on the task for which the tractor</w:t>
            </w:r>
            <w:r w:rsidR="001E3DCD">
              <w:rPr>
                <w:rFonts w:ascii="Source Sans Pro Light" w:hAnsi="Source Sans Pro Light"/>
                <w:sz w:val="22"/>
                <w:szCs w:val="22"/>
              </w:rPr>
              <w:t xml:space="preserve">, tow vehicle and </w:t>
            </w:r>
            <w:r w:rsidR="00A57717">
              <w:rPr>
                <w:rFonts w:ascii="Source Sans Pro Light" w:hAnsi="Source Sans Pro Light"/>
                <w:sz w:val="22"/>
                <w:szCs w:val="22"/>
              </w:rPr>
              <w:t>farm accessories or equipment</w:t>
            </w:r>
            <w:r w:rsidR="001E3DCD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Pr="00651DFB">
              <w:rPr>
                <w:rFonts w:ascii="Source Sans Pro Light" w:hAnsi="Source Sans Pro Light"/>
                <w:sz w:val="22"/>
                <w:szCs w:val="22"/>
              </w:rPr>
              <w:t xml:space="preserve">is being used. Consult with the </w:t>
            </w:r>
            <w:r w:rsidR="001E3DCD">
              <w:rPr>
                <w:rFonts w:ascii="Source Sans Pro Light" w:hAnsi="Source Sans Pro Light"/>
                <w:sz w:val="22"/>
                <w:szCs w:val="22"/>
              </w:rPr>
              <w:t xml:space="preserve">owner’s manual of the </w:t>
            </w:r>
            <w:r w:rsidR="00A57717">
              <w:rPr>
                <w:rFonts w:ascii="Source Sans Pro Light" w:hAnsi="Source Sans Pro Light"/>
                <w:sz w:val="22"/>
                <w:szCs w:val="22"/>
              </w:rPr>
              <w:t>farm equipment</w:t>
            </w:r>
            <w:r w:rsidRPr="00651DFB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="001E3DCD">
              <w:rPr>
                <w:rFonts w:ascii="Source Sans Pro Light" w:hAnsi="Source Sans Pro Light"/>
                <w:sz w:val="22"/>
                <w:szCs w:val="22"/>
              </w:rPr>
              <w:t xml:space="preserve">for the </w:t>
            </w:r>
            <w:r w:rsidRPr="00651DFB">
              <w:rPr>
                <w:rFonts w:ascii="Source Sans Pro Light" w:hAnsi="Source Sans Pro Light"/>
                <w:sz w:val="22"/>
                <w:szCs w:val="22"/>
              </w:rPr>
              <w:t xml:space="preserve">appropriate PPE </w:t>
            </w:r>
            <w:r w:rsidR="001E3DCD">
              <w:rPr>
                <w:rFonts w:ascii="Source Sans Pro Light" w:hAnsi="Source Sans Pro Light"/>
                <w:sz w:val="22"/>
                <w:szCs w:val="22"/>
              </w:rPr>
              <w:t>to use.</w:t>
            </w:r>
          </w:p>
          <w:p w14:paraId="65632E7A" w14:textId="4EBF7327" w:rsidR="009B7BB2" w:rsidRPr="00651DFB" w:rsidRDefault="009B7BB2" w:rsidP="00B45A8A">
            <w:p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CSA approved</w:t>
            </w:r>
          </w:p>
          <w:p w14:paraId="67343FD6" w14:textId="77777777" w:rsidR="00BE7ECA" w:rsidRPr="00651DFB" w:rsidRDefault="00BE7ECA" w:rsidP="00BE7ECA">
            <w:pPr>
              <w:pStyle w:val="ListParagraph"/>
              <w:numPr>
                <w:ilvl w:val="0"/>
                <w:numId w:val="24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>Steel-toe footwear</w:t>
            </w:r>
          </w:p>
          <w:p w14:paraId="0D3D5EF4" w14:textId="688F3DFC" w:rsidR="00BE7ECA" w:rsidRPr="00651DFB" w:rsidRDefault="00D863FA" w:rsidP="00BE7ECA">
            <w:pPr>
              <w:pStyle w:val="ListParagraph"/>
              <w:numPr>
                <w:ilvl w:val="0"/>
                <w:numId w:val="24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>Hearing</w:t>
            </w:r>
            <w:r w:rsidR="00BE7ECA" w:rsidRPr="00651DFB">
              <w:rPr>
                <w:rFonts w:ascii="Source Sans Pro Light" w:hAnsi="Source Sans Pro Light"/>
                <w:sz w:val="22"/>
                <w:szCs w:val="22"/>
              </w:rPr>
              <w:t xml:space="preserve"> protection</w:t>
            </w:r>
          </w:p>
          <w:p w14:paraId="5A49D765" w14:textId="2A5834B2" w:rsidR="00BD68CE" w:rsidRDefault="00BD68CE" w:rsidP="00BD68CE">
            <w:pPr>
              <w:pStyle w:val="ListParagraph"/>
              <w:numPr>
                <w:ilvl w:val="0"/>
                <w:numId w:val="24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>High Visibility Clothing</w:t>
            </w:r>
          </w:p>
          <w:p w14:paraId="14EA5800" w14:textId="3FFE61CF" w:rsidR="001E3DCD" w:rsidRPr="00651DFB" w:rsidRDefault="001E3DCD" w:rsidP="00BD68CE">
            <w:pPr>
              <w:pStyle w:val="ListParagraph"/>
              <w:numPr>
                <w:ilvl w:val="0"/>
                <w:numId w:val="2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Safety Glasses</w:t>
            </w:r>
          </w:p>
          <w:p w14:paraId="4F77A513" w14:textId="293FBCDE" w:rsidR="00D863FA" w:rsidRPr="00651DFB" w:rsidRDefault="00D863FA" w:rsidP="00D863FA">
            <w:pPr>
              <w:pStyle w:val="ListParagraph"/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BE7ECA" w:rsidRPr="00651DFB" w14:paraId="36F1044E" w14:textId="0FF61735" w:rsidTr="00BE7ECA">
        <w:tc>
          <w:tcPr>
            <w:tcW w:w="2895" w:type="dxa"/>
          </w:tcPr>
          <w:p w14:paraId="59629B6A" w14:textId="77777777" w:rsidR="00BE7ECA" w:rsidRPr="00CF6CD2" w:rsidRDefault="00BE7ECA" w:rsidP="00B45A8A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CF6CD2">
              <w:rPr>
                <w:rFonts w:ascii="Source Sans Pro Semibold" w:hAnsi="Source Sans Pro Semibold"/>
                <w:smallCaps/>
                <w:sz w:val="22"/>
                <w:szCs w:val="22"/>
              </w:rPr>
              <w:t>Training Requirements:</w:t>
            </w:r>
          </w:p>
        </w:tc>
        <w:tc>
          <w:tcPr>
            <w:tcW w:w="6455" w:type="dxa"/>
          </w:tcPr>
          <w:p w14:paraId="3C756AA5" w14:textId="77777777" w:rsidR="00BE7ECA" w:rsidRPr="00651DFB" w:rsidRDefault="00BE7ECA" w:rsidP="00BE7ECA">
            <w:pPr>
              <w:pStyle w:val="ListParagraph"/>
              <w:numPr>
                <w:ilvl w:val="0"/>
                <w:numId w:val="25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 xml:space="preserve">Valid Class 8 or higher driver’s license </w:t>
            </w:r>
          </w:p>
          <w:p w14:paraId="2092BEDC" w14:textId="6C4D7E5F" w:rsidR="00BE7ECA" w:rsidRPr="00651DFB" w:rsidRDefault="00BE7ECA" w:rsidP="00BE7ECA">
            <w:pPr>
              <w:pStyle w:val="ListParagraph"/>
              <w:numPr>
                <w:ilvl w:val="0"/>
                <w:numId w:val="25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 xml:space="preserve">Must be considered competent by </w:t>
            </w:r>
            <w:r w:rsidR="009B7BB2">
              <w:rPr>
                <w:rFonts w:ascii="Source Sans Pro Light" w:hAnsi="Source Sans Pro Light"/>
                <w:sz w:val="22"/>
                <w:szCs w:val="22"/>
              </w:rPr>
              <w:t xml:space="preserve">the farm </w:t>
            </w:r>
            <w:r w:rsidRPr="00651DFB">
              <w:rPr>
                <w:rFonts w:ascii="Source Sans Pro Light" w:hAnsi="Source Sans Pro Light"/>
                <w:sz w:val="22"/>
                <w:szCs w:val="22"/>
              </w:rPr>
              <w:t>owner</w:t>
            </w:r>
          </w:p>
          <w:p w14:paraId="6EE4F6BC" w14:textId="06706301" w:rsidR="00D863FA" w:rsidRPr="00651DFB" w:rsidRDefault="00D863FA" w:rsidP="00D863FA">
            <w:pPr>
              <w:pStyle w:val="ListParagraph"/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BE7ECA" w:rsidRPr="00651DFB" w14:paraId="240D7E47" w14:textId="4F9753C9" w:rsidTr="00BE7ECA">
        <w:tc>
          <w:tcPr>
            <w:tcW w:w="2895" w:type="dxa"/>
          </w:tcPr>
          <w:p w14:paraId="1BF51403" w14:textId="77777777" w:rsidR="00BE7ECA" w:rsidRPr="00CF6CD2" w:rsidRDefault="00BE7ECA" w:rsidP="00B45A8A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CF6CD2">
              <w:rPr>
                <w:rFonts w:ascii="Source Sans Pro Semibold" w:hAnsi="Source Sans Pro Semibold"/>
                <w:smallCaps/>
                <w:sz w:val="22"/>
                <w:szCs w:val="22"/>
              </w:rPr>
              <w:t>Communication Process:</w:t>
            </w:r>
          </w:p>
        </w:tc>
        <w:tc>
          <w:tcPr>
            <w:tcW w:w="6455" w:type="dxa"/>
          </w:tcPr>
          <w:p w14:paraId="7FE87680" w14:textId="1914F1AC" w:rsidR="00D863FA" w:rsidRPr="00651DFB" w:rsidRDefault="00BE7ECA" w:rsidP="00B45A8A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 xml:space="preserve">When working out in the field alone, be sure to consult the “Working Alone Procedure”.  For any communication regarding break-downs, further instructions, etc. contact the </w:t>
            </w:r>
            <w:r w:rsidR="009B7BB2">
              <w:rPr>
                <w:rFonts w:ascii="Source Sans Pro Light" w:hAnsi="Source Sans Pro Light"/>
                <w:sz w:val="22"/>
                <w:szCs w:val="22"/>
              </w:rPr>
              <w:t>farm owner.</w:t>
            </w:r>
          </w:p>
          <w:p w14:paraId="7B762999" w14:textId="41CD66AB" w:rsidR="00D863FA" w:rsidRPr="00651DFB" w:rsidRDefault="00D863FA" w:rsidP="00B45A8A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BE7ECA" w:rsidRPr="00651DFB" w14:paraId="4600E54E" w14:textId="1ED96768" w:rsidTr="00BE7ECA">
        <w:tc>
          <w:tcPr>
            <w:tcW w:w="2895" w:type="dxa"/>
          </w:tcPr>
          <w:p w14:paraId="2B891BEC" w14:textId="77777777" w:rsidR="00BE7ECA" w:rsidRPr="00CF6CD2" w:rsidRDefault="00BE7ECA" w:rsidP="00B45A8A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CF6CD2">
              <w:rPr>
                <w:rFonts w:ascii="Source Sans Pro Semibold" w:hAnsi="Source Sans Pro Semibold"/>
                <w:smallCaps/>
                <w:sz w:val="22"/>
                <w:szCs w:val="22"/>
              </w:rPr>
              <w:t>Equipment &amp; Supplies:</w:t>
            </w:r>
          </w:p>
        </w:tc>
        <w:tc>
          <w:tcPr>
            <w:tcW w:w="6455" w:type="dxa"/>
          </w:tcPr>
          <w:p w14:paraId="7EF979EF" w14:textId="77777777" w:rsidR="00BE7ECA" w:rsidRPr="00651DFB" w:rsidRDefault="00BE7ECA" w:rsidP="00BE7ECA">
            <w:pPr>
              <w:pStyle w:val="ListParagraph"/>
              <w:numPr>
                <w:ilvl w:val="0"/>
                <w:numId w:val="26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 xml:space="preserve">First aid kit </w:t>
            </w:r>
          </w:p>
          <w:p w14:paraId="0D2AF2F4" w14:textId="77777777" w:rsidR="00BE7ECA" w:rsidRPr="00651DFB" w:rsidRDefault="00BE7ECA" w:rsidP="00BE7ECA">
            <w:pPr>
              <w:pStyle w:val="ListParagraph"/>
              <w:numPr>
                <w:ilvl w:val="0"/>
                <w:numId w:val="26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 xml:space="preserve">Fire extinguisher </w:t>
            </w:r>
          </w:p>
          <w:p w14:paraId="1560C904" w14:textId="2424C47F" w:rsidR="00D863FA" w:rsidRPr="00651DFB" w:rsidRDefault="00BE7ECA" w:rsidP="00BD68CE">
            <w:pPr>
              <w:pStyle w:val="ListParagraph"/>
              <w:numPr>
                <w:ilvl w:val="0"/>
                <w:numId w:val="26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>Cell phone or 2-way radio (not to be used during operation</w:t>
            </w:r>
            <w:r w:rsidR="001E3DCD">
              <w:rPr>
                <w:rFonts w:ascii="Source Sans Pro Light" w:hAnsi="Source Sans Pro Light"/>
                <w:sz w:val="22"/>
                <w:szCs w:val="22"/>
              </w:rPr>
              <w:t xml:space="preserve"> or hitching/unhitching.</w:t>
            </w:r>
          </w:p>
        </w:tc>
      </w:tr>
      <w:tr w:rsidR="00471A04" w:rsidRPr="00651DFB" w14:paraId="1224B97B" w14:textId="77777777" w:rsidTr="005C55A7">
        <w:tc>
          <w:tcPr>
            <w:tcW w:w="9350" w:type="dxa"/>
            <w:gridSpan w:val="2"/>
          </w:tcPr>
          <w:p w14:paraId="0EB30CF7" w14:textId="77777777" w:rsidR="00471A04" w:rsidRPr="00CF6CD2" w:rsidRDefault="00471A04" w:rsidP="00471A04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CF6CD2">
              <w:rPr>
                <w:rFonts w:ascii="Source Sans Pro Semibold" w:hAnsi="Source Sans Pro Semibold"/>
                <w:smallCaps/>
                <w:sz w:val="22"/>
                <w:szCs w:val="22"/>
              </w:rPr>
              <w:t>Practice:</w:t>
            </w:r>
          </w:p>
          <w:p w14:paraId="0605233F" w14:textId="4D2551CB" w:rsidR="00471A04" w:rsidRPr="00CF6CD2" w:rsidRDefault="00D863FA" w:rsidP="007C0249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lastRenderedPageBreak/>
              <w:t>Read the o</w:t>
            </w:r>
            <w:r w:rsidR="00445AF9" w:rsidRPr="00CF6CD2">
              <w:rPr>
                <w:rFonts w:ascii="Source Sans Pro Light" w:hAnsi="Source Sans Pro Light"/>
                <w:sz w:val="22"/>
                <w:szCs w:val="22"/>
              </w:rPr>
              <w:t>wner</w:t>
            </w:r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’s manual and familiarize yourself with decals and symbols prior to </w:t>
            </w:r>
            <w:r w:rsidR="00445AF9" w:rsidRPr="00CF6CD2">
              <w:rPr>
                <w:rFonts w:ascii="Source Sans Pro Light" w:hAnsi="Source Sans Pro Light"/>
                <w:sz w:val="22"/>
                <w:szCs w:val="22"/>
              </w:rPr>
              <w:t xml:space="preserve">hitching/unhitching or using the </w:t>
            </w:r>
            <w:r w:rsidR="006456A1">
              <w:rPr>
                <w:rFonts w:ascii="Source Sans Pro Light" w:hAnsi="Source Sans Pro Light"/>
                <w:sz w:val="22"/>
                <w:szCs w:val="22"/>
              </w:rPr>
              <w:t>f</w:t>
            </w:r>
            <w:r w:rsidR="00A57717">
              <w:rPr>
                <w:rFonts w:ascii="Source Sans Pro Light" w:hAnsi="Source Sans Pro Light"/>
                <w:sz w:val="22"/>
                <w:szCs w:val="22"/>
              </w:rPr>
              <w:t>arm equipment</w:t>
            </w:r>
            <w:r w:rsidR="00471A04" w:rsidRPr="00CF6CD2">
              <w:rPr>
                <w:rFonts w:ascii="Source Sans Pro Light" w:hAnsi="Source Sans Pro Light"/>
                <w:sz w:val="22"/>
                <w:szCs w:val="22"/>
              </w:rPr>
              <w:t xml:space="preserve">. </w:t>
            </w:r>
            <w:r w:rsidR="00440094" w:rsidRPr="00CF6CD2">
              <w:rPr>
                <w:rFonts w:ascii="Source Sans Pro Light" w:hAnsi="Source Sans Pro Light"/>
                <w:sz w:val="22"/>
                <w:szCs w:val="22"/>
              </w:rPr>
              <w:t xml:space="preserve"> Read SWP for </w:t>
            </w:r>
            <w:r w:rsidR="00A57717">
              <w:rPr>
                <w:rFonts w:ascii="Source Sans Pro Light" w:hAnsi="Source Sans Pro Light"/>
                <w:sz w:val="22"/>
                <w:szCs w:val="22"/>
              </w:rPr>
              <w:t>farm equipment</w:t>
            </w:r>
            <w:r w:rsidR="00440094" w:rsidRPr="00CF6CD2">
              <w:rPr>
                <w:rFonts w:ascii="Source Sans Pro Light" w:hAnsi="Source Sans Pro Light"/>
                <w:sz w:val="22"/>
                <w:szCs w:val="22"/>
              </w:rPr>
              <w:t xml:space="preserve"> hitching.</w:t>
            </w:r>
          </w:p>
          <w:p w14:paraId="3A199749" w14:textId="549DBDB2" w:rsidR="00EB4FC7" w:rsidRPr="00CF6CD2" w:rsidRDefault="00EB4FC7" w:rsidP="007C0249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>Have a first aid kit and fire extinguisher on hand and readily available.</w:t>
            </w:r>
          </w:p>
          <w:p w14:paraId="611751A9" w14:textId="0A9C955A" w:rsidR="00401D61" w:rsidRPr="00CF6CD2" w:rsidRDefault="00401D61" w:rsidP="007C0249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Only trained workers are permitted to operate </w:t>
            </w:r>
            <w:r w:rsidR="006456A1">
              <w:rPr>
                <w:rFonts w:ascii="Source Sans Pro Light" w:hAnsi="Source Sans Pro Light"/>
                <w:sz w:val="22"/>
                <w:szCs w:val="22"/>
              </w:rPr>
              <w:t>farm equipment</w:t>
            </w:r>
            <w:r w:rsidRPr="00CF6CD2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77AA16D1" w14:textId="6E1269F2" w:rsidR="00BD68CE" w:rsidRPr="00CF6CD2" w:rsidRDefault="00BD68CE" w:rsidP="007C0249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Check the work area for hazards </w:t>
            </w:r>
            <w:r w:rsidR="00160F8A" w:rsidRPr="00CF6CD2">
              <w:rPr>
                <w:rFonts w:ascii="Source Sans Pro Light" w:hAnsi="Source Sans Pro Light"/>
                <w:sz w:val="22"/>
                <w:szCs w:val="22"/>
              </w:rPr>
              <w:t xml:space="preserve">including overhead </w:t>
            </w:r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and </w:t>
            </w:r>
            <w:r w:rsidR="006456A1">
              <w:rPr>
                <w:rFonts w:ascii="Source Sans Pro Light" w:hAnsi="Source Sans Pro Light"/>
                <w:sz w:val="22"/>
                <w:szCs w:val="22"/>
              </w:rPr>
              <w:t>farm equipment</w:t>
            </w:r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 controls.</w:t>
            </w:r>
          </w:p>
          <w:p w14:paraId="2591FE78" w14:textId="483D1FBA" w:rsidR="00445AF9" w:rsidRPr="00CF6CD2" w:rsidRDefault="00445AF9" w:rsidP="007C0249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Inspect the </w:t>
            </w:r>
            <w:r w:rsidR="006456A1">
              <w:rPr>
                <w:rFonts w:ascii="Source Sans Pro Light" w:hAnsi="Source Sans Pro Light"/>
                <w:sz w:val="22"/>
                <w:szCs w:val="22"/>
              </w:rPr>
              <w:t>farm equipment</w:t>
            </w:r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 before use.  Do not use if there are deficiencies.</w:t>
            </w:r>
          </w:p>
          <w:p w14:paraId="4926E570" w14:textId="648ABF49" w:rsidR="00445AF9" w:rsidRPr="00CF6CD2" w:rsidRDefault="00445AF9" w:rsidP="007C0249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Ensure the maintenance for the </w:t>
            </w:r>
            <w:r w:rsidR="006456A1">
              <w:rPr>
                <w:rFonts w:ascii="Source Sans Pro Light" w:hAnsi="Source Sans Pro Light"/>
                <w:sz w:val="22"/>
                <w:szCs w:val="22"/>
              </w:rPr>
              <w:t>farm equipment</w:t>
            </w:r>
            <w:r w:rsidR="006456A1" w:rsidRPr="00CF6CD2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Pr="00CF6CD2">
              <w:rPr>
                <w:rFonts w:ascii="Source Sans Pro Light" w:hAnsi="Source Sans Pro Light"/>
                <w:sz w:val="22"/>
                <w:szCs w:val="22"/>
              </w:rPr>
              <w:t>is up to date</w:t>
            </w:r>
            <w:r w:rsidR="00401D61" w:rsidRPr="00CF6CD2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6CE39434" w14:textId="0406DD8B" w:rsidR="00401D61" w:rsidRPr="00CF6CD2" w:rsidRDefault="00401D61" w:rsidP="007C0249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>Drive according to conditions.</w:t>
            </w:r>
            <w:r w:rsidR="009C1E1C" w:rsidRPr="00CF6CD2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166DD3AC" w14:textId="412193E1" w:rsidR="009C1E1C" w:rsidRPr="00CF6CD2" w:rsidRDefault="009C1E1C" w:rsidP="007C0249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>Engage transport locks before driving on the road.</w:t>
            </w:r>
          </w:p>
          <w:p w14:paraId="4032FC66" w14:textId="4CF43AF0" w:rsidR="00121171" w:rsidRPr="00CF6CD2" w:rsidRDefault="00121171" w:rsidP="007C0249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>Ensure adequate clearance for turning when towing.</w:t>
            </w:r>
          </w:p>
          <w:p w14:paraId="61B38C15" w14:textId="04FBB4B0" w:rsidR="008060E6" w:rsidRPr="00CF6CD2" w:rsidRDefault="00471A04" w:rsidP="007C0249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>Use a slow-moving vehicle sign and do not exceed 40km/hr on public roads.</w:t>
            </w:r>
          </w:p>
          <w:p w14:paraId="474F7850" w14:textId="218655E5" w:rsidR="00263C69" w:rsidRPr="00CF6CD2" w:rsidRDefault="00263C69" w:rsidP="007C0249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>Use flashing lights when transporting implement on public roads.</w:t>
            </w:r>
          </w:p>
          <w:p w14:paraId="3999F6E7" w14:textId="10CFF276" w:rsidR="00263C69" w:rsidRPr="00CF6CD2" w:rsidRDefault="00263C69" w:rsidP="007C0249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>Wear close fitting clothing and contain long hair and beards to prevent entanglement.</w:t>
            </w:r>
          </w:p>
          <w:p w14:paraId="2D5FAB93" w14:textId="0A1D9051" w:rsidR="00445AF9" w:rsidRPr="00CF6CD2" w:rsidRDefault="00445AF9" w:rsidP="007C0249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Ensure correct hitch for the </w:t>
            </w:r>
            <w:r w:rsidR="006456A1">
              <w:rPr>
                <w:rFonts w:ascii="Source Sans Pro Light" w:hAnsi="Source Sans Pro Light"/>
                <w:sz w:val="22"/>
                <w:szCs w:val="22"/>
              </w:rPr>
              <w:t>farm equipment</w:t>
            </w:r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 is used and matches that of the tractor and tow vehicle.</w:t>
            </w:r>
          </w:p>
          <w:p w14:paraId="043116A4" w14:textId="4BC18027" w:rsidR="00DE59DB" w:rsidRPr="00CF6CD2" w:rsidRDefault="00DE59DB" w:rsidP="007C0249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>Hitch and unhitch on flat surfaces.</w:t>
            </w:r>
          </w:p>
          <w:p w14:paraId="6E47D89A" w14:textId="17B90C58" w:rsidR="00401D61" w:rsidRPr="00CF6CD2" w:rsidRDefault="00401D61" w:rsidP="007C0249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>Always double check the hitch connection before operation.</w:t>
            </w:r>
          </w:p>
          <w:p w14:paraId="767D4C9A" w14:textId="1BB121A4" w:rsidR="00445AF9" w:rsidRPr="00CF6CD2" w:rsidRDefault="00445AF9" w:rsidP="007C0249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>Ensure PTO guards and shields are in place</w:t>
            </w:r>
            <w:r w:rsidR="007D5D03" w:rsidRPr="00CF6CD2">
              <w:rPr>
                <w:rFonts w:ascii="Source Sans Pro Light" w:hAnsi="Source Sans Pro Light"/>
                <w:sz w:val="22"/>
                <w:szCs w:val="22"/>
              </w:rPr>
              <w:t xml:space="preserve"> immediately after connecting or disconnecting.</w:t>
            </w:r>
          </w:p>
          <w:p w14:paraId="75645270" w14:textId="57DE9CFD" w:rsidR="002405D0" w:rsidRPr="00CF6CD2" w:rsidRDefault="002405D0" w:rsidP="007C0249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>Ensure implement guards and shield are in place.</w:t>
            </w:r>
          </w:p>
          <w:p w14:paraId="0283C1B9" w14:textId="77777777" w:rsidR="007D5D03" w:rsidRPr="00CF6CD2" w:rsidRDefault="007D5D03" w:rsidP="007C0249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>Disengage the PTO before getting off the tractor.</w:t>
            </w:r>
          </w:p>
          <w:p w14:paraId="7B5F5A79" w14:textId="77777777" w:rsidR="007D5D03" w:rsidRPr="00CF6CD2" w:rsidRDefault="007D5D03" w:rsidP="007C0249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>Do not step over the PTO – walk around.</w:t>
            </w:r>
          </w:p>
          <w:p w14:paraId="132EC9AD" w14:textId="77777777" w:rsidR="007D5D03" w:rsidRPr="00CF6CD2" w:rsidRDefault="007D5D03" w:rsidP="007C0249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>Turn off the power sources to the implement before performing service, making adjustments or repairs or conducting maintenance.</w:t>
            </w:r>
          </w:p>
          <w:p w14:paraId="07C0C684" w14:textId="77777777" w:rsidR="00263C69" w:rsidRPr="00CF6CD2" w:rsidRDefault="00263C69" w:rsidP="007C0249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Clean off steps </w:t>
            </w:r>
            <w:r w:rsidR="00A84818" w:rsidRPr="00CF6CD2">
              <w:rPr>
                <w:rFonts w:ascii="Source Sans Pro Light" w:hAnsi="Source Sans Pro Light"/>
                <w:sz w:val="22"/>
                <w:szCs w:val="22"/>
              </w:rPr>
              <w:t>and platforms free of mud, dirt, snow and ice free.</w:t>
            </w:r>
          </w:p>
          <w:p w14:paraId="4C14D881" w14:textId="7C7D2EE2" w:rsidR="00A84818" w:rsidRPr="00CF6CD2" w:rsidRDefault="00A84818" w:rsidP="007C0249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Wear the PPE as listed in the Owner’s Manual for the </w:t>
            </w:r>
            <w:r w:rsidR="006456A1">
              <w:rPr>
                <w:rFonts w:ascii="Source Sans Pro Light" w:hAnsi="Source Sans Pro Light"/>
                <w:sz w:val="22"/>
                <w:szCs w:val="22"/>
              </w:rPr>
              <w:t>farm equipment</w:t>
            </w:r>
            <w:r w:rsidRPr="00CF6CD2">
              <w:rPr>
                <w:rFonts w:ascii="Source Sans Pro Light" w:hAnsi="Source Sans Pro Light"/>
                <w:sz w:val="22"/>
                <w:szCs w:val="22"/>
              </w:rPr>
              <w:t>.</w:t>
            </w:r>
            <w:r w:rsidR="008D5777">
              <w:rPr>
                <w:rFonts w:ascii="Source Sans Pro Light" w:hAnsi="Source Sans Pro Light"/>
                <w:sz w:val="22"/>
                <w:szCs w:val="22"/>
              </w:rPr>
              <w:t xml:space="preserve">  No loose clothing and contain long hair and beards.</w:t>
            </w:r>
          </w:p>
          <w:p w14:paraId="7B78619D" w14:textId="526ACBBC" w:rsidR="00515076" w:rsidRPr="00CF6CD2" w:rsidRDefault="00515076" w:rsidP="007C0249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>Follow the SWP for</w:t>
            </w:r>
            <w:r w:rsidR="006456A1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="006456A1">
              <w:rPr>
                <w:rFonts w:ascii="Source Sans Pro Light" w:hAnsi="Source Sans Pro Light"/>
                <w:sz w:val="22"/>
                <w:szCs w:val="22"/>
              </w:rPr>
              <w:t>farm equipment</w:t>
            </w:r>
            <w:r w:rsidR="006456A1" w:rsidRPr="00CF6CD2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Pr="00CF6CD2">
              <w:rPr>
                <w:rFonts w:ascii="Source Sans Pro Light" w:hAnsi="Source Sans Pro Light"/>
                <w:sz w:val="22"/>
                <w:szCs w:val="22"/>
              </w:rPr>
              <w:t>hitching &amp; unhitching.</w:t>
            </w:r>
          </w:p>
          <w:p w14:paraId="23701A6D" w14:textId="344E853E" w:rsidR="00EF3F72" w:rsidRPr="00CF6CD2" w:rsidRDefault="00EF3F72" w:rsidP="007C0249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>If equipped with hydraulics, check of leaks using cardboard, and release pressure from the system before conducting maintenance and repairs</w:t>
            </w:r>
            <w:r w:rsidR="00B24D1A" w:rsidRPr="00CF6CD2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435A60FB" w14:textId="209FC977" w:rsidR="00B24D1A" w:rsidRPr="00CF6CD2" w:rsidRDefault="00B24D1A" w:rsidP="007C0249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Follow Lock out </w:t>
            </w:r>
            <w:r w:rsidR="009167A3" w:rsidRPr="00CF6CD2">
              <w:rPr>
                <w:rFonts w:ascii="Source Sans Pro Light" w:hAnsi="Source Sans Pro Light"/>
                <w:sz w:val="22"/>
                <w:szCs w:val="22"/>
              </w:rPr>
              <w:t xml:space="preserve">and blocking </w:t>
            </w:r>
            <w:r w:rsidRPr="00CF6CD2">
              <w:rPr>
                <w:rFonts w:ascii="Source Sans Pro Light" w:hAnsi="Source Sans Pro Light"/>
                <w:sz w:val="22"/>
                <w:szCs w:val="22"/>
              </w:rPr>
              <w:t>procedure</w:t>
            </w:r>
            <w:r w:rsidR="009167A3" w:rsidRPr="00CF6CD2">
              <w:rPr>
                <w:rFonts w:ascii="Source Sans Pro Light" w:hAnsi="Source Sans Pro Light"/>
                <w:sz w:val="22"/>
                <w:szCs w:val="22"/>
              </w:rPr>
              <w:t>s</w:t>
            </w:r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 before performing maintenance on the equipment.</w:t>
            </w:r>
          </w:p>
          <w:p w14:paraId="2D009DE4" w14:textId="7BF54765" w:rsidR="007438A5" w:rsidRPr="00CF6CD2" w:rsidRDefault="007438A5" w:rsidP="007C0249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>Remove debris that collects on the implement to prevent fire hazards.</w:t>
            </w:r>
          </w:p>
          <w:p w14:paraId="0BC0D672" w14:textId="794D8801" w:rsidR="00410748" w:rsidRPr="00CF6CD2" w:rsidRDefault="00410748" w:rsidP="007C0249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>Do not stop, start or change directions suddenly on slopes’, working up and down is preferred.</w:t>
            </w:r>
          </w:p>
          <w:p w14:paraId="2E677AF0" w14:textId="5257D406" w:rsidR="00890AFB" w:rsidRPr="00CF6CD2" w:rsidRDefault="00890AFB" w:rsidP="007C0249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>Do not modify any implement unless approved by the manufacturer.</w:t>
            </w:r>
          </w:p>
          <w:p w14:paraId="7CF98DB7" w14:textId="35A0AB8A" w:rsidR="00FA4264" w:rsidRPr="005759BE" w:rsidRDefault="008405CD" w:rsidP="00FA4264">
            <w:pPr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 w:rsidRPr="005759BE">
              <w:rPr>
                <w:rFonts w:ascii="Source Sans Pro Light" w:hAnsi="Source Sans Pro Light"/>
                <w:b/>
                <w:bCs/>
                <w:sz w:val="22"/>
                <w:szCs w:val="22"/>
              </w:rPr>
              <w:t>Bush Hog</w:t>
            </w:r>
          </w:p>
          <w:p w14:paraId="3CC951BC" w14:textId="295DBFA5" w:rsidR="0040166D" w:rsidRPr="00CF6CD2" w:rsidRDefault="00EB4FC7" w:rsidP="00D7662E">
            <w:pPr>
              <w:pStyle w:val="ListParagraph"/>
              <w:numPr>
                <w:ilvl w:val="0"/>
                <w:numId w:val="41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>See points 1-28 above.</w:t>
            </w:r>
          </w:p>
          <w:p w14:paraId="3B64787A" w14:textId="035A72BB" w:rsidR="00F97832" w:rsidRPr="00CF6CD2" w:rsidRDefault="00A4153B" w:rsidP="00D7662E">
            <w:pPr>
              <w:pStyle w:val="ListParagraph"/>
              <w:numPr>
                <w:ilvl w:val="0"/>
                <w:numId w:val="41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>Continuously look for hazards both ahead and overhead.</w:t>
            </w:r>
          </w:p>
          <w:p w14:paraId="1CA0083D" w14:textId="34902C6A" w:rsidR="00A4153B" w:rsidRPr="00CF6CD2" w:rsidRDefault="00A4153B" w:rsidP="00D7662E">
            <w:pPr>
              <w:pStyle w:val="ListParagraph"/>
              <w:numPr>
                <w:ilvl w:val="0"/>
                <w:numId w:val="41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Look for objects in the path of </w:t>
            </w:r>
            <w:r w:rsidR="00335C9B" w:rsidRPr="00CF6CD2">
              <w:rPr>
                <w:rFonts w:ascii="Source Sans Pro Light" w:hAnsi="Source Sans Pro Light"/>
                <w:sz w:val="22"/>
                <w:szCs w:val="22"/>
              </w:rPr>
              <w:t>the bush</w:t>
            </w:r>
            <w:r w:rsidR="008405CD">
              <w:rPr>
                <w:rFonts w:ascii="Source Sans Pro Light" w:hAnsi="Source Sans Pro Light"/>
                <w:sz w:val="22"/>
                <w:szCs w:val="22"/>
              </w:rPr>
              <w:t xml:space="preserve"> hog </w:t>
            </w:r>
            <w:r w:rsidRPr="00CF6CD2">
              <w:rPr>
                <w:rFonts w:ascii="Source Sans Pro Light" w:hAnsi="Source Sans Pro Light"/>
                <w:sz w:val="22"/>
                <w:szCs w:val="22"/>
              </w:rPr>
              <w:t>that could interfere with the correct operation or cause damage.</w:t>
            </w:r>
          </w:p>
          <w:p w14:paraId="26CAFF47" w14:textId="77777777" w:rsidR="00A4153B" w:rsidRPr="00CF6CD2" w:rsidRDefault="00A4153B" w:rsidP="00D7662E">
            <w:pPr>
              <w:pStyle w:val="ListParagraph"/>
              <w:numPr>
                <w:ilvl w:val="0"/>
                <w:numId w:val="41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>Keep people, animals and objects out of the path of flying stones and sticks.</w:t>
            </w:r>
          </w:p>
          <w:p w14:paraId="7FD0B610" w14:textId="080E5F31" w:rsidR="00A4153B" w:rsidRPr="00CF6CD2" w:rsidRDefault="00A4153B" w:rsidP="00D7662E">
            <w:pPr>
              <w:pStyle w:val="ListParagraph"/>
              <w:numPr>
                <w:ilvl w:val="0"/>
                <w:numId w:val="41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>Give extra time for blades to stop moving even after the PTO is disengaged.</w:t>
            </w:r>
          </w:p>
          <w:p w14:paraId="20058836" w14:textId="77777777" w:rsidR="00A4153B" w:rsidRPr="00CF6CD2" w:rsidRDefault="00A4153B" w:rsidP="00D7662E">
            <w:pPr>
              <w:pStyle w:val="ListParagraph"/>
              <w:numPr>
                <w:ilvl w:val="0"/>
                <w:numId w:val="41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Avoid contact with the knives or cutter bar. </w:t>
            </w:r>
          </w:p>
          <w:p w14:paraId="55C15D91" w14:textId="70F8E75B" w:rsidR="00F943E6" w:rsidRPr="00F943E6" w:rsidRDefault="00F943E6" w:rsidP="00C12F3D">
            <w:pPr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 w:rsidRPr="00F943E6">
              <w:rPr>
                <w:rFonts w:ascii="Source Sans Pro Light" w:hAnsi="Source Sans Pro Light"/>
                <w:b/>
                <w:bCs/>
                <w:sz w:val="22"/>
                <w:szCs w:val="22"/>
              </w:rPr>
              <w:t>Sprayer</w:t>
            </w:r>
          </w:p>
          <w:p w14:paraId="1BDC8AB3" w14:textId="70389471" w:rsidR="00F943E6" w:rsidRDefault="00F943E6" w:rsidP="00C12F3D">
            <w:pPr>
              <w:pStyle w:val="ListParagraph"/>
              <w:numPr>
                <w:ilvl w:val="0"/>
                <w:numId w:val="45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F943E6">
              <w:rPr>
                <w:rFonts w:ascii="Source Sans Pro Light" w:hAnsi="Source Sans Pro Light"/>
                <w:sz w:val="22"/>
                <w:szCs w:val="22"/>
              </w:rPr>
              <w:t>See points 1-28 above</w:t>
            </w:r>
          </w:p>
          <w:p w14:paraId="064F53C9" w14:textId="257ACF72" w:rsidR="006460E9" w:rsidRDefault="006460E9" w:rsidP="006460E9">
            <w:pPr>
              <w:pStyle w:val="ListParagraph"/>
              <w:numPr>
                <w:ilvl w:val="0"/>
                <w:numId w:val="45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Ensure not persons are working in the area to be sprayed.</w:t>
            </w:r>
          </w:p>
          <w:p w14:paraId="737515BD" w14:textId="78D2A3EA" w:rsidR="006460E9" w:rsidRDefault="006460E9" w:rsidP="006460E9">
            <w:pPr>
              <w:pStyle w:val="ListParagraph"/>
              <w:numPr>
                <w:ilvl w:val="0"/>
                <w:numId w:val="45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Ensure wind speed is less than 8km/r or as per the SDS.</w:t>
            </w:r>
          </w:p>
          <w:p w14:paraId="43E7369A" w14:textId="465CA159" w:rsidR="006460E9" w:rsidRDefault="006460E9" w:rsidP="006460E9">
            <w:pPr>
              <w:pStyle w:val="ListParagraph"/>
              <w:numPr>
                <w:ilvl w:val="0"/>
                <w:numId w:val="45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Wear the appropriate PPE as recommended by the SDS.</w:t>
            </w:r>
          </w:p>
          <w:p w14:paraId="6AA6B5DC" w14:textId="69D2C4E4" w:rsidR="006460E9" w:rsidRDefault="006460E9" w:rsidP="006460E9">
            <w:pPr>
              <w:pStyle w:val="ListParagraph"/>
              <w:numPr>
                <w:ilvl w:val="0"/>
                <w:numId w:val="45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lastRenderedPageBreak/>
              <w:t>Add filters to tractor cab as per SDS.</w:t>
            </w:r>
          </w:p>
          <w:p w14:paraId="55D83F43" w14:textId="29FB49DE" w:rsidR="006460E9" w:rsidRDefault="006460E9" w:rsidP="006460E9">
            <w:pPr>
              <w:pStyle w:val="ListParagraph"/>
              <w:numPr>
                <w:ilvl w:val="0"/>
                <w:numId w:val="45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Only spray the concentration recommended in the SDS.</w:t>
            </w:r>
          </w:p>
          <w:p w14:paraId="284D9D62" w14:textId="39D0E7E6" w:rsidR="006460E9" w:rsidRDefault="006460E9" w:rsidP="006460E9">
            <w:pPr>
              <w:pStyle w:val="ListParagraph"/>
              <w:numPr>
                <w:ilvl w:val="0"/>
                <w:numId w:val="45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Use a spray for the specific pest or weed when possible rather than a broad coverage product.</w:t>
            </w:r>
          </w:p>
          <w:p w14:paraId="63C38E0D" w14:textId="749E88CC" w:rsidR="004A01DD" w:rsidRPr="00CF6CD2" w:rsidRDefault="00D7662E" w:rsidP="00D7662E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CF6CD2">
              <w:rPr>
                <w:rFonts w:ascii="Source Sans Pro Semibold" w:hAnsi="Source Sans Pro Semibold"/>
                <w:sz w:val="22"/>
                <w:szCs w:val="22"/>
              </w:rPr>
              <w:t>Back Blade</w:t>
            </w:r>
          </w:p>
          <w:p w14:paraId="00F2EB55" w14:textId="345339AF" w:rsidR="00D7662E" w:rsidRPr="00CF6CD2" w:rsidRDefault="00D7662E" w:rsidP="003D1F9C">
            <w:pPr>
              <w:pStyle w:val="ListParagraph"/>
              <w:numPr>
                <w:ilvl w:val="0"/>
                <w:numId w:val="41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>See points 1-28 above.</w:t>
            </w:r>
          </w:p>
          <w:p w14:paraId="04C42A7C" w14:textId="77777777" w:rsidR="00D7662E" w:rsidRPr="00CF6CD2" w:rsidRDefault="00D7662E" w:rsidP="00D7662E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CF6CD2">
              <w:rPr>
                <w:rFonts w:ascii="Source Sans Pro Semibold" w:hAnsi="Source Sans Pro Semibold"/>
                <w:sz w:val="22"/>
                <w:szCs w:val="22"/>
              </w:rPr>
              <w:t>Front Blade</w:t>
            </w:r>
          </w:p>
          <w:p w14:paraId="199B3751" w14:textId="12423A8B" w:rsidR="003D1F9C" w:rsidRPr="00CF6CD2" w:rsidRDefault="00D7662E" w:rsidP="003D1F9C">
            <w:pPr>
              <w:pStyle w:val="ListParagraph"/>
              <w:numPr>
                <w:ilvl w:val="0"/>
                <w:numId w:val="41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>See points 1-28 above.</w:t>
            </w:r>
          </w:p>
          <w:p w14:paraId="5D830565" w14:textId="77777777" w:rsidR="003D1F9C" w:rsidRPr="00CF6CD2" w:rsidRDefault="003D1F9C" w:rsidP="003D1F9C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CF6CD2">
              <w:rPr>
                <w:rFonts w:ascii="Source Sans Pro Semibold" w:hAnsi="Source Sans Pro Semibold"/>
                <w:sz w:val="22"/>
                <w:szCs w:val="22"/>
              </w:rPr>
              <w:t>Power or Rock Grader</w:t>
            </w:r>
          </w:p>
          <w:p w14:paraId="360EF142" w14:textId="77777777" w:rsidR="003D1F9C" w:rsidRPr="00CF6CD2" w:rsidRDefault="003D1F9C" w:rsidP="003D1F9C">
            <w:pPr>
              <w:pStyle w:val="ListParagraph"/>
              <w:numPr>
                <w:ilvl w:val="0"/>
                <w:numId w:val="41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>See points 1-28 above.</w:t>
            </w:r>
          </w:p>
          <w:p w14:paraId="2CEBA4A3" w14:textId="77777777" w:rsidR="003D1F9C" w:rsidRPr="00CF6CD2" w:rsidRDefault="003D1F9C" w:rsidP="003D1F9C">
            <w:pPr>
              <w:pStyle w:val="ListParagraph"/>
              <w:numPr>
                <w:ilvl w:val="0"/>
                <w:numId w:val="41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>Keep the work area clear when the implement is operating to prevent people or objects being hit by flying debris</w:t>
            </w:r>
          </w:p>
          <w:p w14:paraId="3786B6C2" w14:textId="0646DFC3" w:rsidR="003D1F9C" w:rsidRPr="00CF6CD2" w:rsidRDefault="003D1F9C" w:rsidP="003D1F9C">
            <w:pPr>
              <w:pStyle w:val="ListParagraph"/>
              <w:numPr>
                <w:ilvl w:val="0"/>
                <w:numId w:val="41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>Avoid driving over stumps or similar objects while operating.</w:t>
            </w:r>
          </w:p>
          <w:p w14:paraId="1F0083C1" w14:textId="77777777" w:rsidR="003D1F9C" w:rsidRDefault="003D1F9C" w:rsidP="00586B13">
            <w:pPr>
              <w:pStyle w:val="ListParagraph"/>
              <w:numPr>
                <w:ilvl w:val="0"/>
                <w:numId w:val="41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>Operate at manufacturers recommended speed(s).</w:t>
            </w:r>
          </w:p>
          <w:p w14:paraId="46F884D9" w14:textId="77777777" w:rsidR="006F0032" w:rsidRPr="006F0032" w:rsidRDefault="006F0032" w:rsidP="006F0032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6F0032">
              <w:rPr>
                <w:rFonts w:ascii="Source Sans Pro Semibold" w:hAnsi="Source Sans Pro Semibold"/>
                <w:sz w:val="22"/>
                <w:szCs w:val="22"/>
              </w:rPr>
              <w:t>Land Leveler</w:t>
            </w:r>
          </w:p>
          <w:p w14:paraId="19A3353A" w14:textId="77777777" w:rsidR="006F0032" w:rsidRDefault="006F0032" w:rsidP="006F0032">
            <w:pPr>
              <w:pStyle w:val="ListParagraph"/>
              <w:numPr>
                <w:ilvl w:val="0"/>
                <w:numId w:val="43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See points 1-28 above</w:t>
            </w:r>
          </w:p>
          <w:p w14:paraId="2178E8EB" w14:textId="77777777" w:rsidR="006F0032" w:rsidRDefault="006F0032" w:rsidP="006F0032">
            <w:pPr>
              <w:pStyle w:val="ListParagraph"/>
              <w:numPr>
                <w:ilvl w:val="0"/>
                <w:numId w:val="43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Remove all objects that may cause damage to the equipment.</w:t>
            </w:r>
          </w:p>
          <w:p w14:paraId="60288BD7" w14:textId="77777777" w:rsidR="006F0032" w:rsidRDefault="006F0032" w:rsidP="006F0032">
            <w:pPr>
              <w:pStyle w:val="ListParagraph"/>
              <w:numPr>
                <w:ilvl w:val="0"/>
                <w:numId w:val="43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Reduce ground speed on slopes and rough terrain.</w:t>
            </w:r>
          </w:p>
          <w:p w14:paraId="6ED8EFEC" w14:textId="77777777" w:rsidR="006F0032" w:rsidRDefault="006F0032" w:rsidP="006F0032">
            <w:pPr>
              <w:pStyle w:val="ListParagraph"/>
              <w:numPr>
                <w:ilvl w:val="0"/>
                <w:numId w:val="43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Keep clear of buildings, fences, ditches, hillsides and other obstructions.</w:t>
            </w:r>
          </w:p>
          <w:p w14:paraId="5CA0713B" w14:textId="0AFD2117" w:rsidR="006F0032" w:rsidRPr="006F0032" w:rsidRDefault="006F0032" w:rsidP="006F0032">
            <w:pPr>
              <w:pStyle w:val="ListParagraph"/>
              <w:numPr>
                <w:ilvl w:val="0"/>
                <w:numId w:val="43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Ensure equipment is lowered to the ground before exiting the tractor.</w:t>
            </w:r>
          </w:p>
        </w:tc>
      </w:tr>
      <w:tr w:rsidR="00BE7ECA" w:rsidRPr="00651DFB" w14:paraId="52423E06" w14:textId="1A4DF57E" w:rsidTr="00BE7ECA">
        <w:tc>
          <w:tcPr>
            <w:tcW w:w="2895" w:type="dxa"/>
          </w:tcPr>
          <w:p w14:paraId="15FE279C" w14:textId="77777777" w:rsidR="00BE7ECA" w:rsidRPr="00CF6CD2" w:rsidRDefault="00BE7ECA" w:rsidP="00B45A8A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CF6CD2">
              <w:rPr>
                <w:rFonts w:ascii="Source Sans Pro Semibold" w:hAnsi="Source Sans Pro Semibold"/>
                <w:smallCaps/>
                <w:sz w:val="22"/>
                <w:szCs w:val="22"/>
              </w:rPr>
              <w:lastRenderedPageBreak/>
              <w:t>Emergency Procedures:</w:t>
            </w:r>
          </w:p>
        </w:tc>
        <w:tc>
          <w:tcPr>
            <w:tcW w:w="6455" w:type="dxa"/>
          </w:tcPr>
          <w:p w14:paraId="3BCF9D71" w14:textId="42CD3723" w:rsidR="00BE7ECA" w:rsidRPr="00651DFB" w:rsidRDefault="00471A04" w:rsidP="00B45A8A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 xml:space="preserve">In case of emergency, contact 911 and </w:t>
            </w:r>
            <w:r w:rsidR="0040166D">
              <w:rPr>
                <w:rFonts w:ascii="Source Sans Pro Light" w:hAnsi="Source Sans Pro Light"/>
                <w:sz w:val="22"/>
                <w:szCs w:val="22"/>
              </w:rPr>
              <w:t>the farm owner</w:t>
            </w:r>
            <w:r w:rsidRPr="00651DFB">
              <w:rPr>
                <w:rFonts w:ascii="Source Sans Pro Light" w:hAnsi="Source Sans Pro Light"/>
                <w:sz w:val="22"/>
                <w:szCs w:val="22"/>
              </w:rPr>
              <w:t xml:space="preserve"> immediately.  Remove yourself from harm’s way and ensure no one else is at risk.</w:t>
            </w:r>
          </w:p>
        </w:tc>
      </w:tr>
    </w:tbl>
    <w:p w14:paraId="1CF899E9" w14:textId="77777777" w:rsidR="00A6062D" w:rsidRPr="00651DFB" w:rsidRDefault="00A6062D" w:rsidP="00FF42F5">
      <w:pPr>
        <w:rPr>
          <w:rFonts w:ascii="Source Sans Pro Light" w:hAnsi="Source Sans Pro Light"/>
          <w:smallCaps/>
          <w:sz w:val="22"/>
          <w:szCs w:val="22"/>
        </w:rPr>
      </w:pPr>
    </w:p>
    <w:sectPr w:rsidR="00A6062D" w:rsidRPr="00651DFB" w:rsidSect="00F27F7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4098A" w14:textId="77777777" w:rsidR="00AC7052" w:rsidRDefault="00AC7052" w:rsidP="00FF42F5">
      <w:pPr>
        <w:spacing w:line="240" w:lineRule="auto"/>
      </w:pPr>
      <w:r>
        <w:separator/>
      </w:r>
    </w:p>
  </w:endnote>
  <w:endnote w:type="continuationSeparator" w:id="0">
    <w:p w14:paraId="7F3BA2B5" w14:textId="77777777" w:rsidR="00AC7052" w:rsidRDefault="00AC7052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(Body CS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EA4B2" w14:textId="65641D15" w:rsidR="00BD68CE" w:rsidRPr="008E6E86" w:rsidRDefault="008E6E86" w:rsidP="008E6E86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EDC9B" w14:textId="77777777" w:rsidR="00AC7052" w:rsidRDefault="00AC7052" w:rsidP="00FF42F5">
      <w:pPr>
        <w:spacing w:line="240" w:lineRule="auto"/>
      </w:pPr>
      <w:r>
        <w:separator/>
      </w:r>
    </w:p>
  </w:footnote>
  <w:footnote w:type="continuationSeparator" w:id="0">
    <w:p w14:paraId="62FA70DA" w14:textId="77777777" w:rsidR="00AC7052" w:rsidRDefault="00AC7052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66761" w14:textId="40FE6CA5" w:rsidR="001C55BF" w:rsidRPr="00651DFB" w:rsidRDefault="00E95A56" w:rsidP="001C55BF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n-CA"/>
      </w:rPr>
    </w:pPr>
    <w:r>
      <w:rPr>
        <w:rFonts w:ascii="Source Sans Pro Light" w:hAnsi="Source Sans Pro Light"/>
        <w:b/>
        <w:bCs/>
        <w:sz w:val="24"/>
        <w:szCs w:val="24"/>
        <w:lang w:val="en-CA"/>
      </w:rPr>
      <w:fldChar w:fldCharType="begin"/>
    </w:r>
    <w:r>
      <w:rPr>
        <w:rFonts w:ascii="Source Sans Pro Light" w:hAnsi="Source Sans Pro Light"/>
        <w:b/>
        <w:bCs/>
        <w:sz w:val="24"/>
        <w:szCs w:val="24"/>
        <w:lang w:val="en-CA"/>
      </w:rPr>
      <w:instrText xml:space="preserve"> DOCPROPERTY  "Farm Name"  \* MERGEFORMAT </w:instrTex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separate"/>
    </w:r>
    <w:r>
      <w:rPr>
        <w:rFonts w:ascii="Source Sans Pro Light" w:hAnsi="Source Sans Pro Light"/>
        <w:b/>
        <w:bCs/>
        <w:sz w:val="24"/>
        <w:szCs w:val="24"/>
        <w:lang w:val="en-CA"/>
      </w:rPr>
      <w:t>&lt;&lt; FARM NAME &gt;&gt;</w: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end"/>
    </w:r>
    <w:r>
      <w:rPr>
        <w:rFonts w:ascii="Source Sans Pro Light" w:hAnsi="Source Sans Pro Light"/>
        <w:b/>
        <w:bCs/>
        <w:sz w:val="24"/>
        <w:szCs w:val="24"/>
        <w:lang w:val="en-CA"/>
      </w:rPr>
      <w:t xml:space="preserve"> </w:t>
    </w:r>
    <w:r w:rsidR="00A57717">
      <w:rPr>
        <w:rFonts w:ascii="Source Sans Pro Light" w:hAnsi="Source Sans Pro Light" w:cs="Times New Roman (Body CS)"/>
        <w:b/>
        <w:bCs/>
        <w:caps/>
        <w:sz w:val="24"/>
        <w:szCs w:val="24"/>
        <w:lang w:val="en-CA"/>
      </w:rPr>
      <w:t>Farm Equipment Accessories</w:t>
    </w:r>
    <w:r w:rsidR="00DD548B">
      <w:rPr>
        <w:rFonts w:ascii="Source Sans Pro Light" w:hAnsi="Source Sans Pro Light" w:cs="Times New Roman (Body CS)"/>
        <w:b/>
        <w:bCs/>
        <w:caps/>
        <w:sz w:val="24"/>
        <w:szCs w:val="24"/>
        <w:lang w:val="en-CA"/>
      </w:rPr>
      <w:t xml:space="preserve"> SAFE WORK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A2218"/>
    <w:multiLevelType w:val="hybridMultilevel"/>
    <w:tmpl w:val="51D0FA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455E"/>
    <w:multiLevelType w:val="hybridMultilevel"/>
    <w:tmpl w:val="DB1678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224FC"/>
    <w:multiLevelType w:val="hybridMultilevel"/>
    <w:tmpl w:val="0674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20BC"/>
    <w:multiLevelType w:val="hybridMultilevel"/>
    <w:tmpl w:val="182A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F17E1"/>
    <w:multiLevelType w:val="hybridMultilevel"/>
    <w:tmpl w:val="7DAA73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E0965"/>
    <w:multiLevelType w:val="hybridMultilevel"/>
    <w:tmpl w:val="290893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13E6F"/>
    <w:multiLevelType w:val="hybridMultilevel"/>
    <w:tmpl w:val="AFF4A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550A4"/>
    <w:multiLevelType w:val="hybridMultilevel"/>
    <w:tmpl w:val="F2F660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84AFD"/>
    <w:multiLevelType w:val="hybridMultilevel"/>
    <w:tmpl w:val="2488C0E8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E04326B"/>
    <w:multiLevelType w:val="hybridMultilevel"/>
    <w:tmpl w:val="C4CE9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167DE"/>
    <w:multiLevelType w:val="hybridMultilevel"/>
    <w:tmpl w:val="D9F063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B007E"/>
    <w:multiLevelType w:val="hybridMultilevel"/>
    <w:tmpl w:val="60285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C5636"/>
    <w:multiLevelType w:val="hybridMultilevel"/>
    <w:tmpl w:val="35CC2A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B43A4"/>
    <w:multiLevelType w:val="hybridMultilevel"/>
    <w:tmpl w:val="57F235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27BED"/>
    <w:multiLevelType w:val="hybridMultilevel"/>
    <w:tmpl w:val="FF945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9A60E2"/>
    <w:multiLevelType w:val="hybridMultilevel"/>
    <w:tmpl w:val="EEAE2D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D231B"/>
    <w:multiLevelType w:val="hybridMultilevel"/>
    <w:tmpl w:val="6F44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22314"/>
    <w:multiLevelType w:val="hybridMultilevel"/>
    <w:tmpl w:val="FD8452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23426"/>
    <w:multiLevelType w:val="hybridMultilevel"/>
    <w:tmpl w:val="0674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A6924"/>
    <w:multiLevelType w:val="hybridMultilevel"/>
    <w:tmpl w:val="D1F06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039E3"/>
    <w:multiLevelType w:val="hybridMultilevel"/>
    <w:tmpl w:val="D1F06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C04E8"/>
    <w:multiLevelType w:val="hybridMultilevel"/>
    <w:tmpl w:val="DC9E4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E4D9A"/>
    <w:multiLevelType w:val="hybridMultilevel"/>
    <w:tmpl w:val="BC301B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6303C"/>
    <w:multiLevelType w:val="hybridMultilevel"/>
    <w:tmpl w:val="60285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130E7"/>
    <w:multiLevelType w:val="hybridMultilevel"/>
    <w:tmpl w:val="7FE28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C6536"/>
    <w:multiLevelType w:val="hybridMultilevel"/>
    <w:tmpl w:val="4E0ECC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448F6"/>
    <w:multiLevelType w:val="hybridMultilevel"/>
    <w:tmpl w:val="6E005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558E6"/>
    <w:multiLevelType w:val="hybridMultilevel"/>
    <w:tmpl w:val="56103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C5A8A"/>
    <w:multiLevelType w:val="hybridMultilevel"/>
    <w:tmpl w:val="47AABD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5D0E63"/>
    <w:multiLevelType w:val="hybridMultilevel"/>
    <w:tmpl w:val="348090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634AF"/>
    <w:multiLevelType w:val="hybridMultilevel"/>
    <w:tmpl w:val="B198AE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22F3E"/>
    <w:multiLevelType w:val="hybridMultilevel"/>
    <w:tmpl w:val="3BB87F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A46BE4"/>
    <w:multiLevelType w:val="hybridMultilevel"/>
    <w:tmpl w:val="D2FCA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B324D"/>
    <w:multiLevelType w:val="hybridMultilevel"/>
    <w:tmpl w:val="C1E283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B46D9"/>
    <w:multiLevelType w:val="hybridMultilevel"/>
    <w:tmpl w:val="679C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A0F95"/>
    <w:multiLevelType w:val="hybridMultilevel"/>
    <w:tmpl w:val="F29868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1063AA"/>
    <w:multiLevelType w:val="hybridMultilevel"/>
    <w:tmpl w:val="A5E82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938C6"/>
    <w:multiLevelType w:val="hybridMultilevel"/>
    <w:tmpl w:val="1D78C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B96153"/>
    <w:multiLevelType w:val="hybridMultilevel"/>
    <w:tmpl w:val="7B6AF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D71D4"/>
    <w:multiLevelType w:val="hybridMultilevel"/>
    <w:tmpl w:val="683AD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3344B"/>
    <w:multiLevelType w:val="hybridMultilevel"/>
    <w:tmpl w:val="9BB84B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E447D6"/>
    <w:multiLevelType w:val="hybridMultilevel"/>
    <w:tmpl w:val="182A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7370F"/>
    <w:multiLevelType w:val="hybridMultilevel"/>
    <w:tmpl w:val="8662C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B1909"/>
    <w:multiLevelType w:val="hybridMultilevel"/>
    <w:tmpl w:val="95DED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0"/>
  </w:num>
  <w:num w:numId="5">
    <w:abstractNumId w:val="38"/>
  </w:num>
  <w:num w:numId="6">
    <w:abstractNumId w:val="9"/>
  </w:num>
  <w:num w:numId="7">
    <w:abstractNumId w:val="40"/>
  </w:num>
  <w:num w:numId="8">
    <w:abstractNumId w:val="25"/>
  </w:num>
  <w:num w:numId="9">
    <w:abstractNumId w:val="23"/>
  </w:num>
  <w:num w:numId="10">
    <w:abstractNumId w:val="18"/>
  </w:num>
  <w:num w:numId="11">
    <w:abstractNumId w:val="21"/>
  </w:num>
  <w:num w:numId="12">
    <w:abstractNumId w:val="3"/>
  </w:num>
  <w:num w:numId="13">
    <w:abstractNumId w:val="41"/>
  </w:num>
  <w:num w:numId="14">
    <w:abstractNumId w:val="36"/>
  </w:num>
  <w:num w:numId="15">
    <w:abstractNumId w:val="2"/>
  </w:num>
  <w:num w:numId="16">
    <w:abstractNumId w:val="34"/>
  </w:num>
  <w:num w:numId="17">
    <w:abstractNumId w:val="12"/>
  </w:num>
  <w:num w:numId="18">
    <w:abstractNumId w:val="6"/>
  </w:num>
  <w:num w:numId="19">
    <w:abstractNumId w:val="22"/>
  </w:num>
  <w:num w:numId="20">
    <w:abstractNumId w:val="43"/>
  </w:num>
  <w:num w:numId="21">
    <w:abstractNumId w:val="20"/>
  </w:num>
  <w:num w:numId="22">
    <w:abstractNumId w:val="29"/>
  </w:num>
  <w:num w:numId="23">
    <w:abstractNumId w:val="30"/>
  </w:num>
  <w:num w:numId="24">
    <w:abstractNumId w:val="33"/>
  </w:num>
  <w:num w:numId="25">
    <w:abstractNumId w:val="37"/>
  </w:num>
  <w:num w:numId="26">
    <w:abstractNumId w:val="42"/>
  </w:num>
  <w:num w:numId="27">
    <w:abstractNumId w:val="15"/>
  </w:num>
  <w:num w:numId="28">
    <w:abstractNumId w:val="4"/>
  </w:num>
  <w:num w:numId="29">
    <w:abstractNumId w:val="13"/>
  </w:num>
  <w:num w:numId="30">
    <w:abstractNumId w:val="1"/>
  </w:num>
  <w:num w:numId="31">
    <w:abstractNumId w:val="32"/>
  </w:num>
  <w:num w:numId="32">
    <w:abstractNumId w:val="5"/>
  </w:num>
  <w:num w:numId="33">
    <w:abstractNumId w:val="35"/>
  </w:num>
  <w:num w:numId="34">
    <w:abstractNumId w:val="14"/>
  </w:num>
  <w:num w:numId="35">
    <w:abstractNumId w:val="24"/>
  </w:num>
  <w:num w:numId="36">
    <w:abstractNumId w:val="26"/>
  </w:num>
  <w:num w:numId="37">
    <w:abstractNumId w:val="39"/>
  </w:num>
  <w:num w:numId="38">
    <w:abstractNumId w:val="16"/>
  </w:num>
  <w:num w:numId="39">
    <w:abstractNumId w:val="31"/>
  </w:num>
  <w:num w:numId="40">
    <w:abstractNumId w:val="28"/>
  </w:num>
  <w:num w:numId="41">
    <w:abstractNumId w:val="0"/>
  </w:num>
  <w:num w:numId="42">
    <w:abstractNumId w:val="44"/>
  </w:num>
  <w:num w:numId="43">
    <w:abstractNumId w:val="27"/>
  </w:num>
  <w:num w:numId="44">
    <w:abstractNumId w:val="11"/>
  </w:num>
  <w:num w:numId="45">
    <w:abstractNumId w:val="4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71"/>
    <w:rsid w:val="00016B0D"/>
    <w:rsid w:val="00020510"/>
    <w:rsid w:val="00026657"/>
    <w:rsid w:val="00032738"/>
    <w:rsid w:val="00086346"/>
    <w:rsid w:val="000C0950"/>
    <w:rsid w:val="000E1884"/>
    <w:rsid w:val="00121171"/>
    <w:rsid w:val="0013004F"/>
    <w:rsid w:val="001343DC"/>
    <w:rsid w:val="00134C31"/>
    <w:rsid w:val="00146F5B"/>
    <w:rsid w:val="00160F8A"/>
    <w:rsid w:val="00182211"/>
    <w:rsid w:val="001862CD"/>
    <w:rsid w:val="00194271"/>
    <w:rsid w:val="001A22EA"/>
    <w:rsid w:val="001C55BF"/>
    <w:rsid w:val="001E3DCD"/>
    <w:rsid w:val="001E64B6"/>
    <w:rsid w:val="001F6BC9"/>
    <w:rsid w:val="00201550"/>
    <w:rsid w:val="00224C30"/>
    <w:rsid w:val="002405D0"/>
    <w:rsid w:val="00242379"/>
    <w:rsid w:val="00263C69"/>
    <w:rsid w:val="002C61E3"/>
    <w:rsid w:val="00304877"/>
    <w:rsid w:val="00335C9B"/>
    <w:rsid w:val="00380D52"/>
    <w:rsid w:val="003D1F9C"/>
    <w:rsid w:val="003D2E42"/>
    <w:rsid w:val="003E6154"/>
    <w:rsid w:val="0040166D"/>
    <w:rsid w:val="00401D61"/>
    <w:rsid w:val="00410748"/>
    <w:rsid w:val="0043628D"/>
    <w:rsid w:val="00440094"/>
    <w:rsid w:val="00442640"/>
    <w:rsid w:val="00442866"/>
    <w:rsid w:val="004446DD"/>
    <w:rsid w:val="00445AF9"/>
    <w:rsid w:val="0044755E"/>
    <w:rsid w:val="00471A04"/>
    <w:rsid w:val="00471E96"/>
    <w:rsid w:val="0047610C"/>
    <w:rsid w:val="004A01DD"/>
    <w:rsid w:val="004B7B5D"/>
    <w:rsid w:val="004C1FF4"/>
    <w:rsid w:val="004C52F3"/>
    <w:rsid w:val="004C71FB"/>
    <w:rsid w:val="004C75D1"/>
    <w:rsid w:val="004D0EC1"/>
    <w:rsid w:val="00515076"/>
    <w:rsid w:val="005529BF"/>
    <w:rsid w:val="0055654E"/>
    <w:rsid w:val="00563422"/>
    <w:rsid w:val="005759BE"/>
    <w:rsid w:val="00586B13"/>
    <w:rsid w:val="00597C7D"/>
    <w:rsid w:val="005D3C9F"/>
    <w:rsid w:val="005E3142"/>
    <w:rsid w:val="005F1791"/>
    <w:rsid w:val="00604027"/>
    <w:rsid w:val="006211A2"/>
    <w:rsid w:val="00632FB6"/>
    <w:rsid w:val="006456A1"/>
    <w:rsid w:val="006460E9"/>
    <w:rsid w:val="00651DFB"/>
    <w:rsid w:val="00663075"/>
    <w:rsid w:val="00680E8C"/>
    <w:rsid w:val="006C3649"/>
    <w:rsid w:val="006C50EE"/>
    <w:rsid w:val="006E2DFD"/>
    <w:rsid w:val="006F0032"/>
    <w:rsid w:val="00701EC1"/>
    <w:rsid w:val="007438A5"/>
    <w:rsid w:val="007734EB"/>
    <w:rsid w:val="007C0249"/>
    <w:rsid w:val="007C0B5E"/>
    <w:rsid w:val="007D5270"/>
    <w:rsid w:val="007D5D03"/>
    <w:rsid w:val="008060E6"/>
    <w:rsid w:val="008405CD"/>
    <w:rsid w:val="008732EB"/>
    <w:rsid w:val="00875EA5"/>
    <w:rsid w:val="00890AFB"/>
    <w:rsid w:val="008B6BB5"/>
    <w:rsid w:val="008D5777"/>
    <w:rsid w:val="008E6E86"/>
    <w:rsid w:val="0090481F"/>
    <w:rsid w:val="009167A3"/>
    <w:rsid w:val="009261B0"/>
    <w:rsid w:val="009314AE"/>
    <w:rsid w:val="009718EA"/>
    <w:rsid w:val="009B7BB2"/>
    <w:rsid w:val="009C1E1C"/>
    <w:rsid w:val="009C6AB6"/>
    <w:rsid w:val="009C7494"/>
    <w:rsid w:val="009D09C2"/>
    <w:rsid w:val="009D1488"/>
    <w:rsid w:val="009E60C3"/>
    <w:rsid w:val="009F7840"/>
    <w:rsid w:val="00A20A8E"/>
    <w:rsid w:val="00A4153B"/>
    <w:rsid w:val="00A56C78"/>
    <w:rsid w:val="00A57717"/>
    <w:rsid w:val="00A6062D"/>
    <w:rsid w:val="00A75245"/>
    <w:rsid w:val="00A84818"/>
    <w:rsid w:val="00AC58AE"/>
    <w:rsid w:val="00AC7052"/>
    <w:rsid w:val="00AE2A22"/>
    <w:rsid w:val="00AE77AB"/>
    <w:rsid w:val="00AF084A"/>
    <w:rsid w:val="00B04D1D"/>
    <w:rsid w:val="00B11F30"/>
    <w:rsid w:val="00B21A77"/>
    <w:rsid w:val="00B24D1A"/>
    <w:rsid w:val="00B473DA"/>
    <w:rsid w:val="00B4755C"/>
    <w:rsid w:val="00B72E2B"/>
    <w:rsid w:val="00B865BF"/>
    <w:rsid w:val="00B96CE2"/>
    <w:rsid w:val="00B96DCF"/>
    <w:rsid w:val="00BD68CE"/>
    <w:rsid w:val="00BE7ECA"/>
    <w:rsid w:val="00C019E2"/>
    <w:rsid w:val="00C069FB"/>
    <w:rsid w:val="00C12F3D"/>
    <w:rsid w:val="00C17382"/>
    <w:rsid w:val="00C37378"/>
    <w:rsid w:val="00C82C0A"/>
    <w:rsid w:val="00C8685D"/>
    <w:rsid w:val="00CC26E4"/>
    <w:rsid w:val="00CD256E"/>
    <w:rsid w:val="00CE2D1D"/>
    <w:rsid w:val="00CF3032"/>
    <w:rsid w:val="00CF630C"/>
    <w:rsid w:val="00CF6CD2"/>
    <w:rsid w:val="00CF7FFC"/>
    <w:rsid w:val="00D4720C"/>
    <w:rsid w:val="00D577AB"/>
    <w:rsid w:val="00D65FA3"/>
    <w:rsid w:val="00D75135"/>
    <w:rsid w:val="00D7662E"/>
    <w:rsid w:val="00D863FA"/>
    <w:rsid w:val="00D96023"/>
    <w:rsid w:val="00DC5923"/>
    <w:rsid w:val="00DD548B"/>
    <w:rsid w:val="00DE59DB"/>
    <w:rsid w:val="00DF7C7E"/>
    <w:rsid w:val="00E31017"/>
    <w:rsid w:val="00E3738E"/>
    <w:rsid w:val="00E95A56"/>
    <w:rsid w:val="00EB4FC7"/>
    <w:rsid w:val="00EF3F72"/>
    <w:rsid w:val="00EF463F"/>
    <w:rsid w:val="00F03AFA"/>
    <w:rsid w:val="00F10ADA"/>
    <w:rsid w:val="00F27F71"/>
    <w:rsid w:val="00F5053C"/>
    <w:rsid w:val="00F943E6"/>
    <w:rsid w:val="00F97832"/>
    <w:rsid w:val="00FA1132"/>
    <w:rsid w:val="00FA4264"/>
    <w:rsid w:val="00FE126B"/>
    <w:rsid w:val="00FE401F"/>
    <w:rsid w:val="00FF42F5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0AB89"/>
  <w15:docId w15:val="{311B8C19-5614-4DF5-B4B6-25215920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C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77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6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0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0C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0C3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TableGrid1">
    <w:name w:val="Table Grid1"/>
    <w:basedOn w:val="TableNormal"/>
    <w:uiPriority w:val="59"/>
    <w:rsid w:val="009D14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75DE0-DF18-4C6E-9382-AB793B7C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cvandenheuvel</dc:creator>
  <cp:lastModifiedBy>Lori Brookhouse</cp:lastModifiedBy>
  <cp:revision>61</cp:revision>
  <dcterms:created xsi:type="dcterms:W3CDTF">2020-02-24T14:17:00Z</dcterms:created>
  <dcterms:modified xsi:type="dcterms:W3CDTF">2021-03-31T14:41:00Z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