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1901" w:rsidRPr="003F1FB6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E62F8" w14:textId="708592C7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CE1901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CE1901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2797B3AA" w14:textId="77777777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1D44612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E1901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CE1901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0D4B0" w14:textId="77777777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A3C4DF7" w14:textId="77777777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F7790B8" w14:textId="77777777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211C9CC" w:rsidR="00223658" w:rsidRPr="00CE1901" w:rsidRDefault="0022365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CE1901" w:rsidRDefault="007867E0" w:rsidP="001B0D0A">
      <w:pPr>
        <w:spacing w:afterLines="40" w:after="96"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5846"/>
      </w:tblGrid>
      <w:tr w:rsidR="00CE1901" w:rsidRPr="003F1FB6" w14:paraId="3F6DED8C" w14:textId="4EFB3FD1" w:rsidTr="00223658">
        <w:tc>
          <w:tcPr>
            <w:tcW w:w="3504" w:type="dxa"/>
          </w:tcPr>
          <w:bookmarkEnd w:id="0"/>
          <w:p w14:paraId="1D32C2F5" w14:textId="3087E9F7" w:rsidR="00223658" w:rsidRPr="001B0D0A" w:rsidRDefault="0022365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CE1901"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17CC1729" w14:textId="0EC835B7" w:rsidR="00CE1901" w:rsidRPr="001B0D0A" w:rsidRDefault="00223658" w:rsidP="001B0D0A">
            <w:pPr>
              <w:pStyle w:val="Prrafodelista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A05169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vehículo/tractor y del </w:t>
            </w:r>
            <w:r w:rsidR="009913A8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remolque</w:t>
            </w:r>
          </w:p>
        </w:tc>
      </w:tr>
      <w:tr w:rsidR="00CE1901" w:rsidRPr="003F1FB6" w14:paraId="458CCC66" w14:textId="515CD549" w:rsidTr="00223658">
        <w:tc>
          <w:tcPr>
            <w:tcW w:w="3504" w:type="dxa"/>
          </w:tcPr>
          <w:p w14:paraId="459378C4" w14:textId="7D8D0244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1B0D0A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1B0D0A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B0D0A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1B0D0A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B0D0A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1B0D0A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</w:tcPr>
          <w:p w14:paraId="716F4535" w14:textId="0D3AB712" w:rsidR="009913A8" w:rsidRPr="001B0D0A" w:rsidRDefault="009913A8" w:rsidP="001B0D0A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lesiones relacionadas con el uso de diversos tipos de remolque, por ejemplo, durante el enganche y desenganche y durante la conducción.</w:t>
            </w:r>
          </w:p>
        </w:tc>
      </w:tr>
      <w:tr w:rsidR="00CE1901" w:rsidRPr="001B0D0A" w14:paraId="701CD8BE" w14:textId="6EC32419" w:rsidTr="00223658">
        <w:tc>
          <w:tcPr>
            <w:tcW w:w="3504" w:type="dxa"/>
          </w:tcPr>
          <w:p w14:paraId="01F35BFE" w14:textId="2EB6EF81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</w:tcPr>
          <w:p w14:paraId="33A5B5DE" w14:textId="208DDF25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  <w:proofErr w:type="spellEnd"/>
          </w:p>
          <w:p w14:paraId="773ECC01" w14:textId="7DB64B5B" w:rsidR="009913A8" w:rsidRPr="001B0D0A" w:rsidRDefault="00C66221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Aprisonamiento</w:t>
            </w:r>
            <w:proofErr w:type="spellEnd"/>
          </w:p>
          <w:p w14:paraId="3F2531B5" w14:textId="5575D5BF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Volcadura</w:t>
            </w:r>
            <w:proofErr w:type="spellEnd"/>
          </w:p>
          <w:p w14:paraId="10F0C399" w14:textId="1930CBDC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Pérdida de carga o carga suelta</w:t>
            </w:r>
          </w:p>
          <w:p w14:paraId="4F4CD0E3" w14:textId="1CFDE49F" w:rsidR="00CE1901" w:rsidRPr="001B0D0A" w:rsidRDefault="001B0D0A" w:rsidP="001B0D0A">
            <w:pPr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Desconexión del remolque</w:t>
            </w:r>
          </w:p>
        </w:tc>
      </w:tr>
      <w:tr w:rsidR="00CE1901" w:rsidRPr="001B0D0A" w14:paraId="265245F6" w14:textId="6CDB2DE7" w:rsidTr="00223658">
        <w:tc>
          <w:tcPr>
            <w:tcW w:w="3504" w:type="dxa"/>
          </w:tcPr>
          <w:p w14:paraId="6B1F2EC6" w14:textId="49037099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</w:tcPr>
          <w:p w14:paraId="00235F86" w14:textId="66B40913" w:rsidR="009913A8" w:rsidRPr="001B0D0A" w:rsidRDefault="009913A8" w:rsidP="001B0D0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aprobado por</w:t>
            </w:r>
            <w:r w:rsidR="001B0D0A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72EE0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CSA</w:t>
            </w:r>
            <w:r w:rsidR="007238C9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B72EE0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según el </w:t>
            </w:r>
            <w:r w:rsidR="00302EFE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</w:t>
            </w:r>
            <w:r w:rsidR="00302EFE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usuario</w:t>
            </w:r>
            <w:r w:rsidR="007238C9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4D41BD03" w14:textId="22B49BBF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</w:t>
            </w:r>
            <w:r w:rsidR="00C315EA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seguridad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con punta de acero</w:t>
            </w:r>
          </w:p>
          <w:p w14:paraId="05273A2E" w14:textId="6BAC0A05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CEFB9C5" w14:textId="7C139638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53385FF5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</w:tc>
      </w:tr>
      <w:tr w:rsidR="00CE1901" w:rsidRPr="003F1FB6" w14:paraId="6F305D66" w14:textId="748B3281" w:rsidTr="00223658">
        <w:tc>
          <w:tcPr>
            <w:tcW w:w="3504" w:type="dxa"/>
          </w:tcPr>
          <w:p w14:paraId="5D3C5908" w14:textId="347C36BC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</w:tcPr>
          <w:p w14:paraId="270DF782" w14:textId="56261040" w:rsidR="009913A8" w:rsidRPr="001B0D0A" w:rsidRDefault="009913A8" w:rsidP="001B0D0A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</w:p>
          <w:p w14:paraId="1B1D7F85" w14:textId="6E272BB5" w:rsidR="009913A8" w:rsidRPr="002E4382" w:rsidRDefault="00C66221" w:rsidP="002E4382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ExtraLight" w:hAnsi="Source Sans Pro Extra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 de conducción de</w:t>
            </w:r>
            <w:r w:rsidR="009913A8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344A3B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transportes</w:t>
            </w:r>
            <w:r w:rsidR="009913A8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</w:t>
            </w:r>
            <w:r w:rsidR="00344A3B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jalan</w:t>
            </w:r>
            <w:r w:rsidR="00302EFE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vehículos y </w:t>
            </w:r>
            <w:r w:rsidR="009913A8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remolques en condiciones de estrés</w:t>
            </w:r>
            <w:r w:rsidR="007238C9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bajo</w:t>
            </w:r>
          </w:p>
        </w:tc>
      </w:tr>
      <w:tr w:rsidR="00CE1901" w:rsidRPr="003F1FB6" w14:paraId="454C556C" w14:textId="09117A47" w:rsidTr="00223658">
        <w:tc>
          <w:tcPr>
            <w:tcW w:w="3504" w:type="dxa"/>
          </w:tcPr>
          <w:p w14:paraId="5C04F588" w14:textId="417B78D2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</w:tcPr>
          <w:p w14:paraId="7E8CB63A" w14:textId="34C61CAF" w:rsidR="00CE1901" w:rsidRPr="001B0D0A" w:rsidRDefault="009913A8" w:rsidP="001B0D0A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Conocer la capacidad de remolque</w:t>
            </w:r>
            <w:r w:rsidR="00CE190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de ambos,</w:t>
            </w:r>
            <w:r w:rsidR="00CE190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tanto del vehículo como del remolque.</w:t>
            </w:r>
            <w:r w:rsidR="00CE190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Cono</w:t>
            </w:r>
            <w:r w:rsidR="00C6622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cer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remolque que se está jalando. De estar disponible, utilizar a un observador y comunicarle los pasos de carga/descarga y enganche/desenganche.</w:t>
            </w:r>
          </w:p>
        </w:tc>
      </w:tr>
      <w:tr w:rsidR="00CE1901" w:rsidRPr="003F1FB6" w14:paraId="62A94C0F" w14:textId="5BD55109" w:rsidTr="00223658">
        <w:tc>
          <w:tcPr>
            <w:tcW w:w="3504" w:type="dxa"/>
          </w:tcPr>
          <w:p w14:paraId="4ADB85D0" w14:textId="27A74840" w:rsidR="009913A8" w:rsidRPr="001B0D0A" w:rsidRDefault="009913A8" w:rsidP="001B0D0A">
            <w:pPr>
              <w:spacing w:afterLines="40" w:after="96" w:line="240" w:lineRule="auto"/>
              <w:rPr>
                <w:rFonts w:ascii="Source Sans Pro Light" w:hAnsi="Source Sans Pro Light"/>
                <w:bCs/>
                <w:smallCaps/>
                <w:sz w:val="22"/>
                <w:szCs w:val="22"/>
              </w:rPr>
            </w:pP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1B0D0A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</w:tcPr>
          <w:p w14:paraId="2E1F5DD6" w14:textId="75529EF6" w:rsidR="009913A8" w:rsidRPr="001B0D0A" w:rsidRDefault="009913A8" w:rsidP="001B0D0A">
            <w:pPr>
              <w:pStyle w:val="Prrafodelista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045FA5D3" w14:textId="7DA93195" w:rsidR="009913A8" w:rsidRPr="001B0D0A" w:rsidRDefault="009913A8" w:rsidP="001B0D0A">
            <w:pPr>
              <w:pStyle w:val="Prrafodelista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1B0D0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B0D0A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2F4747E2" w:rsidR="00CE1901" w:rsidRPr="001B0D0A" w:rsidRDefault="009913A8" w:rsidP="001B0D0A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</w:t>
            </w:r>
            <w:r w:rsidR="00CE190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 o radio de dos vías</w:t>
            </w:r>
          </w:p>
        </w:tc>
      </w:tr>
      <w:tr w:rsidR="00CE1901" w:rsidRPr="00D34902" w14:paraId="6107FD88" w14:textId="09B83638" w:rsidTr="00223658">
        <w:tc>
          <w:tcPr>
            <w:tcW w:w="9350" w:type="dxa"/>
            <w:gridSpan w:val="2"/>
            <w:vAlign w:val="center"/>
          </w:tcPr>
          <w:p w14:paraId="1BD5F117" w14:textId="3636CD41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Lea el </w:t>
            </w:r>
            <w:r w:rsidR="00344A3B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anual del usuario del vehículo </w:t>
            </w:r>
            <w:r w:rsidR="00E22A4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remol</w:t>
            </w:r>
            <w:r w:rsidR="002E438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cador</w:t>
            </w:r>
            <w:r w:rsidR="00344A3B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así como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del remolque que se va a</w:t>
            </w:r>
            <w:r w:rsidR="00344A3B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arrastrar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98EBB4B" w14:textId="0AFBB865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los pesos brutos del vehículo remolcador y del remolque.</w:t>
            </w:r>
          </w:p>
          <w:p w14:paraId="73B4386F" w14:textId="75DDA0AD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Tenga el enganche apropiado para el remolque y el vehículo remolcador designado.</w:t>
            </w:r>
          </w:p>
          <w:p w14:paraId="63E5F4D5" w14:textId="4A0A9777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Inspeccione el </w:t>
            </w:r>
            <w:r w:rsidR="00344A3B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vehículo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remolcador y el remolque antes de usarlo</w:t>
            </w:r>
            <w:r w:rsidR="00DB1256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engancharlo</w:t>
            </w:r>
            <w:r w:rsidR="00DB1256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7EE689F" w14:textId="136195B0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el vehículo remolcador esté unido al remolque antes de cargarlo.</w:t>
            </w:r>
          </w:p>
          <w:p w14:paraId="60305C0C" w14:textId="78DF3E9B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las cadenas para ver si tienen eslabones débiles/dañ</w:t>
            </w:r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ados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3A4832B8" w14:textId="726FEE88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tiene todos los pasadores de bloqueo.</w:t>
            </w:r>
          </w:p>
          <w:p w14:paraId="7ECE8811" w14:textId="35A19EE7" w:rsidR="009913A8" w:rsidRPr="001B0D0A" w:rsidRDefault="00C469BC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Revise que e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cable de separación est</w:t>
            </w:r>
            <w:r w:rsidR="00F42B25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buenas condiciones.</w:t>
            </w:r>
          </w:p>
          <w:p w14:paraId="54470277" w14:textId="6F6CF972" w:rsidR="009913A8" w:rsidRPr="001B0D0A" w:rsidRDefault="00E22A4C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haberlos, r</w:t>
            </w:r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evise que e</w:t>
            </w:r>
            <w:r w:rsidR="00DB1256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c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able de luz/enchufe </w:t>
            </w:r>
            <w:r w:rsidR="00244DA7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estén 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buen estado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33666AC" w14:textId="2B57AEEA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Inspección de luces y frenos.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244DA7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t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odas las luces funcion</w:t>
            </w:r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n.</w:t>
            </w:r>
          </w:p>
          <w:p w14:paraId="190DAD5A" w14:textId="2DCCF470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Asegur</w:t>
            </w:r>
            <w:r w:rsidR="00244DA7"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</w:t>
            </w:r>
            <w:proofErr w:type="spellEnd"/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la</w:t>
            </w:r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carga</w:t>
            </w:r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s</w:t>
            </w:r>
            <w:proofErr w:type="spellEnd"/>
            <w:r w:rsidR="00C469BC" w:rsidRPr="001B0D0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.</w:t>
            </w:r>
          </w:p>
          <w:p w14:paraId="3CC01982" w14:textId="28CD6B16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haberl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cuente con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persona adicional que guíe el desplazamiento en reversa</w:t>
            </w:r>
            <w:r w:rsidR="00244DA7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309F5277" w14:textId="6B91E4C2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haberl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haga que otra persona compruebe el enganche antes de conducir.</w:t>
            </w:r>
          </w:p>
          <w:p w14:paraId="6B2B6895" w14:textId="7E1B6F1D" w:rsidR="009913A8" w:rsidRPr="001B0D0A" w:rsidRDefault="00DB1256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Reporte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inmediatamente </w:t>
            </w:r>
            <w:r w:rsidR="00244DA7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 propietario de la granja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daños/problemas/reparaciones.</w:t>
            </w:r>
          </w:p>
          <w:p w14:paraId="7B5815A9" w14:textId="7740B597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Compruebe la temperatura en el remolque de ganado.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invierno, viaje durante la parte más cálida del día y reduzca la velocidad para disminuir la sensación térmica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si el transporte no tiene </w:t>
            </w:r>
            <w:r w:rsidR="00F374A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techo o de haber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 con</w:t>
            </w:r>
            <w:r w:rsidR="00F374A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orificios/ventanas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verano, viaje durante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parte más fresca del día.</w:t>
            </w:r>
          </w:p>
          <w:p w14:paraId="7D43E635" w14:textId="32FD5D50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Tenga a mano comida y agua extra.</w:t>
            </w:r>
          </w:p>
          <w:p w14:paraId="30E37C29" w14:textId="4343DF7D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las </w:t>
            </w:r>
            <w:r w:rsidR="005819F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puertas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rampas de carga</w:t>
            </w:r>
            <w:r w:rsidR="00875201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21F02F1" w14:textId="60354D3A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Ponga virutas o paja en el piso para evitar </w:t>
            </w:r>
            <w:r w:rsidR="005819F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resbalones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6C3691A" w14:textId="018E4DD1" w:rsidR="009913A8" w:rsidRPr="001B0D0A" w:rsidRDefault="009913A8" w:rsidP="001B0D0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Disminuya el ángulo de la rampa tanto como sea posible para facilitar la carga.</w:t>
            </w:r>
          </w:p>
          <w:p w14:paraId="2AF9556E" w14:textId="77777777" w:rsidR="00CE1901" w:rsidRDefault="00CE1901" w:rsidP="001B0D0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b/>
                <w:bCs/>
                <w:color w:val="auto"/>
                <w:sz w:val="6"/>
                <w:szCs w:val="6"/>
                <w:lang w:val="es-MX"/>
              </w:rPr>
            </w:pPr>
          </w:p>
          <w:p w14:paraId="5FD07C18" w14:textId="77777777" w:rsidR="002E4382" w:rsidRPr="002E4382" w:rsidRDefault="002E4382" w:rsidP="001B0D0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b/>
                <w:bCs/>
                <w:color w:val="auto"/>
                <w:sz w:val="6"/>
                <w:szCs w:val="6"/>
                <w:lang w:val="es-MX"/>
              </w:rPr>
            </w:pPr>
          </w:p>
          <w:p w14:paraId="76C3A3F2" w14:textId="39454B5C" w:rsidR="009913A8" w:rsidRPr="001B0D0A" w:rsidRDefault="009913A8" w:rsidP="001B0D0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Carga y descarga del remolque:</w:t>
            </w:r>
          </w:p>
          <w:p w14:paraId="7ABF7A41" w14:textId="08835E77" w:rsidR="009913A8" w:rsidRPr="001B0D0A" w:rsidRDefault="009913A8" w:rsidP="001B0D0A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las ruedas </w:t>
            </w:r>
            <w:r w:rsidR="005819F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tengan cuñas o topes que </w:t>
            </w:r>
            <w:r w:rsidR="00ED37E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</w:t>
            </w:r>
            <w:r w:rsidR="0034588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inmovilicen.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Cargue manualmente o con un cargador.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hay ganado, utilice </w:t>
            </w:r>
            <w:r w:rsidR="006E50C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 canal portátil de ganado o rampa.</w:t>
            </w:r>
          </w:p>
          <w:p w14:paraId="1EC1F644" w14:textId="0FF7B32C" w:rsidR="009913A8" w:rsidRPr="001B0D0A" w:rsidRDefault="009913A8" w:rsidP="001B0D0A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Coloque el material y los animales con el peso distribuido uniformemente y centrado sobre los ejes.</w:t>
            </w:r>
          </w:p>
          <w:p w14:paraId="121162DA" w14:textId="0DEC3049" w:rsidR="009913A8" w:rsidRPr="001B0D0A" w:rsidRDefault="009913A8" w:rsidP="001B0D0A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Asegure la carga con </w:t>
            </w:r>
            <w:r w:rsidR="000B7415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bandas de amarre con tensor/cinchos</w:t>
            </w:r>
            <w:r w:rsidR="006E50C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 trinquete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cadenas, no con cuerdas elásticas.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</w:t>
            </w:r>
            <w:r w:rsidR="000B7415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os cinchos</w:t>
            </w:r>
            <w:r w:rsidR="001B0D0A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 trinquete y cadenas antes de asegurar la carga. Si descarga, libere </w:t>
            </w:r>
            <w:r w:rsidR="000B7415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cinchos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cadenas.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se trata de ganado, amarre los animales en su lugar.</w:t>
            </w:r>
          </w:p>
          <w:p w14:paraId="4009F7FF" w14:textId="668F546F" w:rsidR="009913A8" w:rsidRPr="001B0D0A" w:rsidRDefault="009913A8" w:rsidP="001B0D0A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Una vez que la carga esté en el remolque, se debe usar un mínimo de 2 </w:t>
            </w:r>
            <w:r w:rsidR="000B7415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cinchos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trinquete por objeto y en direcciones opuestas.</w:t>
            </w:r>
          </w:p>
          <w:p w14:paraId="597BD152" w14:textId="60F9A1EE" w:rsidR="009913A8" w:rsidRPr="001B0D0A" w:rsidRDefault="000B7415" w:rsidP="001B0D0A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cinchos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pasar por encima de la carga y estar bien sujeta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dos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asegurar la máxima fuerza hacia abajo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también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estar conectad</w:t>
            </w:r>
            <w:r w:rsidR="00927B6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a puntos de amarre adecuados.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Una vez que tod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os los cinchos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estén en su lugar, compruebe que la carga esté asegurada y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es necesario 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añada correa</w:t>
            </w:r>
            <w:r w:rsidR="006E50C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D7DF63B" w14:textId="4BD03262" w:rsidR="000B7415" w:rsidRPr="001B0D0A" w:rsidRDefault="000B7415" w:rsidP="001B0D0A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Desate el ganado antes de descargarlo y de abrir la puerta trasera</w:t>
            </w:r>
            <w:r w:rsidR="00875201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3F1FB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bookmarkStart w:id="1" w:name="_GoBack"/>
            <w:bookmarkEnd w:id="1"/>
          </w:p>
          <w:p w14:paraId="31C58838" w14:textId="77777777" w:rsidR="002E4382" w:rsidRDefault="002E4382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0F880979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70E01E2D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60F29F87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56DEEF8F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419921E8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2AB69CC5" w14:textId="77777777" w:rsid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3AA90317" w14:textId="77777777" w:rsidR="00875201" w:rsidRPr="00875201" w:rsidRDefault="00875201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4FFF82BE" w14:textId="130660A5" w:rsidR="009913A8" w:rsidRDefault="009913A8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lastRenderedPageBreak/>
              <w:t>Engancha</w:t>
            </w:r>
            <w:r w:rsidR="006E50CE"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r</w:t>
            </w:r>
            <w:proofErr w:type="spellEnd"/>
            <w:r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 xml:space="preserve"> el </w:t>
            </w:r>
            <w:proofErr w:type="spellStart"/>
            <w:r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remolque</w:t>
            </w:r>
            <w:proofErr w:type="spellEnd"/>
            <w:r w:rsidRPr="001B0D0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:</w:t>
            </w:r>
          </w:p>
          <w:p w14:paraId="67EDFFBD" w14:textId="3D023EAB" w:rsidR="009913A8" w:rsidRDefault="006E50CE" w:rsidP="002E4382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Previo al viaje, haga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inspección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vehículo y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remolque antes de enganchar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Documente la inspección previa al viaje en la lista de </w:t>
            </w:r>
            <w:r w:rsidR="00C4617A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verificación de inspección de vehícul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os.</w:t>
            </w:r>
          </w:p>
          <w:p w14:paraId="0D8F8B1B" w14:textId="77777777" w:rsidR="002E4382" w:rsidRPr="002E4382" w:rsidRDefault="002E4382" w:rsidP="002E4382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73"/>
              <w:rPr>
                <w:rFonts w:ascii="Source Sans Pro Light" w:hAnsi="Source Sans Pro Light" w:cs="Arial"/>
                <w:color w:val="auto"/>
                <w:sz w:val="8"/>
                <w:szCs w:val="8"/>
                <w:lang w:val="es-MX"/>
              </w:rPr>
            </w:pPr>
          </w:p>
          <w:p w14:paraId="3078D7BE" w14:textId="6639B4B8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el enganche del remolque esté clasificado </w:t>
            </w:r>
            <w:r w:rsidR="002E705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para el peso y sea el adecuado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para el remolque en uso. </w:t>
            </w:r>
          </w:p>
          <w:p w14:paraId="26F964F3" w14:textId="42AA8B84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camión debe estar equipado con conos de tráfico o </w:t>
            </w:r>
            <w:r w:rsidR="000B635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 dispositivo de advertencia similar </w:t>
            </w:r>
            <w:r w:rsidR="00E22A4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caso de emergencia. </w:t>
            </w:r>
          </w:p>
          <w:p w14:paraId="48A27859" w14:textId="0C983864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conductor del camión debe esperar a que el observador, si está disponible, ajuste la altura del remolque al nivel adecuado y dé el visto bueno. </w:t>
            </w:r>
          </w:p>
          <w:p w14:paraId="1BEFBF68" w14:textId="20F46198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haberlos, siga a las personas que le guían</w:t>
            </w:r>
            <w:r w:rsidR="002E705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(observadores), y haga señales mientras comprueba los espejos para ver si hay otras personas en el área.</w:t>
            </w:r>
          </w:p>
          <w:p w14:paraId="578EC0C9" w14:textId="26F5E2DD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Cuando el remolque esté en posición, </w:t>
            </w:r>
            <w:r w:rsidR="002E705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pare el camión y ponga la velocidad en “P” estacionar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permanezca en él con el pie en el freno. </w:t>
            </w:r>
          </w:p>
          <w:p w14:paraId="1A86CE37" w14:textId="420CF19B" w:rsidR="009913A8" w:rsidRPr="001B0D0A" w:rsidRDefault="00C4617A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="00E22A4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haber</w:t>
            </w:r>
            <w:r w:rsidR="002E705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u</w:t>
            </w:r>
            <w:r w:rsidR="009913A8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na vez que el observador haya bajado el remolque hasta el enganche, apague el vehículo. </w:t>
            </w:r>
          </w:p>
          <w:p w14:paraId="40A1DCBC" w14:textId="2C655464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el vehículo esté estacionado y apagado antes de hacer más conexiones.</w:t>
            </w:r>
          </w:p>
          <w:p w14:paraId="1C9E0073" w14:textId="34809988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el enganche esté </w:t>
            </w:r>
            <w:r w:rsidR="002E7053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asegurado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su lugar y </w:t>
            </w:r>
            <w:r w:rsidR="00F0736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que el pasador de bloqueo esté colocado. </w:t>
            </w:r>
          </w:p>
          <w:p w14:paraId="748401AF" w14:textId="2F979E3A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se conecten las cadenas, deben estar sujeta</w:t>
            </w:r>
            <w:r w:rsidR="00927B6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da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 al punto de unión opuesto, de modo que se crucen </w:t>
            </w:r>
            <w:r w:rsidR="00927B6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por debajo de</w:t>
            </w:r>
            <w:r w:rsidR="0016693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cabezal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cable de separación debe estar bien sujeto al camión.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el </w:t>
            </w:r>
            <w:r w:rsidR="00C4617A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conector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está completamente colocado y asegurado.</w:t>
            </w:r>
          </w:p>
          <w:p w14:paraId="0741827A" w14:textId="23B71F98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Una vez hechas todas las conexiones, el conductor hace una inspección final de </w:t>
            </w:r>
            <w:r w:rsidR="00F0736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="00927B6E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stas</w:t>
            </w:r>
            <w:r w:rsidR="00F0736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7372502" w14:textId="3D076168" w:rsidR="009913A8" w:rsidRPr="001B0D0A" w:rsidRDefault="009913A8" w:rsidP="001B0D0A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observador debe comprobar que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luz de la señal, de freno y </w:t>
            </w:r>
            <w:r w:rsidR="0016693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emergencia funcion</w:t>
            </w:r>
            <w:r w:rsidR="0016693C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alguna luz no funciona, etiquete el remolque, interrumpa </w:t>
            </w:r>
            <w:r w:rsidR="00EB1059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su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uso y lleve el asunto al propietario de la granja.</w:t>
            </w:r>
          </w:p>
          <w:p w14:paraId="2E8DBEFF" w14:textId="77777777" w:rsidR="009913A8" w:rsidRDefault="009913A8" w:rsidP="00D34902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si hay correas sueltas y que no estén colgando del remolque.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Confirme </w:t>
            </w:r>
            <w:r w:rsidR="00B30B2F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conexión </w:t>
            </w:r>
            <w:r w:rsidR="00D3490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correcta </w:t>
            </w:r>
            <w:r w:rsidR="00B30B2F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las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luces, las cadenas y </w:t>
            </w:r>
            <w:r w:rsidR="00D3490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cable de </w:t>
            </w:r>
            <w:r w:rsidR="00D3490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seguridad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E1901"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Retire las cuñas de las llantas.</w:t>
            </w:r>
          </w:p>
          <w:p w14:paraId="7B04C8D9" w14:textId="6123BB11" w:rsidR="00B9789E" w:rsidRPr="001B0D0A" w:rsidRDefault="00B9789E" w:rsidP="002E4382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40" w:after="96"/>
              <w:ind w:left="473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CE1901" w:rsidRPr="003F1FB6" w14:paraId="7FF6E738" w14:textId="77777777" w:rsidTr="00223658">
        <w:tc>
          <w:tcPr>
            <w:tcW w:w="3504" w:type="dxa"/>
          </w:tcPr>
          <w:p w14:paraId="2890B261" w14:textId="77777777" w:rsidR="009913A8" w:rsidRPr="001B0D0A" w:rsidRDefault="009913A8" w:rsidP="001B0D0A">
            <w:pPr>
              <w:spacing w:afterLines="40" w:after="96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1B0D0A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5846" w:type="dxa"/>
          </w:tcPr>
          <w:p w14:paraId="52180EA6" w14:textId="247D1BA5" w:rsidR="009913A8" w:rsidRPr="001B0D0A" w:rsidRDefault="009913A8" w:rsidP="001B0D0A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CE1901"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B0D0A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  <w:r w:rsidRPr="001B0D0A" w:rsidDel="00A051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1B0D0A" w:rsidRDefault="00130212" w:rsidP="001B0D0A">
      <w:pPr>
        <w:spacing w:afterLines="40" w:after="96" w:line="240" w:lineRule="auto"/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130212" w:rsidRPr="001B0D0A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842D" w14:textId="77777777" w:rsidR="00A7692F" w:rsidRDefault="00A7692F" w:rsidP="00FF42F5">
      <w:pPr>
        <w:spacing w:line="240" w:lineRule="auto"/>
      </w:pPr>
      <w:r>
        <w:separator/>
      </w:r>
    </w:p>
  </w:endnote>
  <w:endnote w:type="continuationSeparator" w:id="0">
    <w:p w14:paraId="19809599" w14:textId="77777777" w:rsidR="00A7692F" w:rsidRDefault="00A7692F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EBD3" w14:textId="77777777" w:rsidR="00CE1901" w:rsidRDefault="00CE1901" w:rsidP="00C469BC">
    <w:pPr>
      <w:tabs>
        <w:tab w:val="left" w:pos="5954"/>
      </w:tabs>
      <w:spacing w:line="240" w:lineRule="auto"/>
      <w:rPr>
        <w:rFonts w:cs="Calibri"/>
        <w:sz w:val="18"/>
        <w:szCs w:val="18"/>
        <w:lang w:val="es-MX" w:eastAsia="en-CA"/>
      </w:rPr>
    </w:pPr>
  </w:p>
  <w:p w14:paraId="05F0F1FB" w14:textId="77777777" w:rsidR="009913A8" w:rsidRPr="00CE1901" w:rsidRDefault="009913A8" w:rsidP="00C469BC">
    <w:pPr>
      <w:tabs>
        <w:tab w:val="left" w:pos="5954"/>
      </w:tabs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CE1901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79CB4A0" w14:textId="7BEA11B8" w:rsidR="009969AE" w:rsidRPr="00223658" w:rsidRDefault="009913A8" w:rsidP="00C469BC">
    <w:pPr>
      <w:tabs>
        <w:tab w:val="left" w:pos="5954"/>
      </w:tabs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CE1901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CE1901">
      <w:rPr>
        <w:rFonts w:cs="Calibri"/>
        <w:sz w:val="18"/>
        <w:szCs w:val="18"/>
        <w:lang w:val="es-MX" w:eastAsia="en-CA"/>
      </w:rPr>
      <w:t xml:space="preserve"> </w:t>
    </w:r>
    <w:r w:rsidRPr="00CE1901">
      <w:rPr>
        <w:rFonts w:cs="Calibri"/>
        <w:sz w:val="18"/>
        <w:szCs w:val="18"/>
        <w:lang w:val="es-MX" w:eastAsia="en-CA"/>
      </w:rPr>
      <w:t>en español incluye todos los géneros</w:t>
    </w:r>
    <w:r w:rsidR="00A31ED8" w:rsidRPr="00CE1901">
      <w:rPr>
        <w:rFonts w:cs="Calibri"/>
        <w:sz w:val="18"/>
        <w:szCs w:val="18"/>
        <w:lang w:val="es-MX" w:eastAsia="en-C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18B89" w14:textId="77777777" w:rsidR="00A7692F" w:rsidRDefault="00A7692F" w:rsidP="00FF42F5">
      <w:pPr>
        <w:spacing w:line="240" w:lineRule="auto"/>
      </w:pPr>
      <w:r>
        <w:separator/>
      </w:r>
    </w:p>
  </w:footnote>
  <w:footnote w:type="continuationSeparator" w:id="0">
    <w:p w14:paraId="1C77E73E" w14:textId="77777777" w:rsidR="00A7692F" w:rsidRDefault="00A7692F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718A" w14:textId="77777777" w:rsidR="00CE1901" w:rsidRDefault="00223658" w:rsidP="001B0D0A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REMOLQUES </w:t>
    </w:r>
    <w:r w:rsidR="00A05169"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32367A99" w:rsidR="00F60E22" w:rsidRDefault="00A05169" w:rsidP="001B0D0A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913A8">
      <w:rPr>
        <w:rFonts w:ascii="Source Sans Pro Light" w:hAnsi="Source Sans Pro Light"/>
        <w:b/>
        <w:bCs/>
        <w:sz w:val="24"/>
        <w:szCs w:val="24"/>
        <w:lang w:val="es-MX"/>
      </w:rPr>
      <w:t>DE &lt;&lt; NOMBRE DE LA GRANJA &gt;&gt;</w:t>
    </w:r>
  </w:p>
  <w:p w14:paraId="15CFFAC9" w14:textId="77777777" w:rsidR="00CE1901" w:rsidRPr="009913A8" w:rsidRDefault="00CE1901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7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7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8"/>
  </w:num>
  <w:num w:numId="9">
    <w:abstractNumId w:val="23"/>
  </w:num>
  <w:num w:numId="10">
    <w:abstractNumId w:val="37"/>
  </w:num>
  <w:num w:numId="11">
    <w:abstractNumId w:val="35"/>
  </w:num>
  <w:num w:numId="12">
    <w:abstractNumId w:val="22"/>
  </w:num>
  <w:num w:numId="13">
    <w:abstractNumId w:val="34"/>
  </w:num>
  <w:num w:numId="14">
    <w:abstractNumId w:val="24"/>
  </w:num>
  <w:num w:numId="15">
    <w:abstractNumId w:val="6"/>
  </w:num>
  <w:num w:numId="16">
    <w:abstractNumId w:val="33"/>
  </w:num>
  <w:num w:numId="17">
    <w:abstractNumId w:val="10"/>
  </w:num>
  <w:num w:numId="18">
    <w:abstractNumId w:val="25"/>
  </w:num>
  <w:num w:numId="19">
    <w:abstractNumId w:val="13"/>
  </w:num>
  <w:num w:numId="20">
    <w:abstractNumId w:val="21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14"/>
  </w:num>
  <w:num w:numId="30">
    <w:abstractNumId w:val="27"/>
  </w:num>
  <w:num w:numId="31">
    <w:abstractNumId w:val="12"/>
  </w:num>
  <w:num w:numId="32">
    <w:abstractNumId w:val="17"/>
  </w:num>
  <w:num w:numId="33">
    <w:abstractNumId w:val="32"/>
  </w:num>
  <w:num w:numId="34">
    <w:abstractNumId w:val="9"/>
  </w:num>
  <w:num w:numId="35">
    <w:abstractNumId w:val="26"/>
  </w:num>
  <w:num w:numId="36">
    <w:abstractNumId w:val="20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64012"/>
    <w:rsid w:val="00085F33"/>
    <w:rsid w:val="00095C40"/>
    <w:rsid w:val="00096026"/>
    <w:rsid w:val="000A31DF"/>
    <w:rsid w:val="000A3E6D"/>
    <w:rsid w:val="000B6358"/>
    <w:rsid w:val="000B7415"/>
    <w:rsid w:val="000C108D"/>
    <w:rsid w:val="000D7C13"/>
    <w:rsid w:val="000E01F4"/>
    <w:rsid w:val="000E2E36"/>
    <w:rsid w:val="000E7B97"/>
    <w:rsid w:val="000F115B"/>
    <w:rsid w:val="00102FC6"/>
    <w:rsid w:val="0010322D"/>
    <w:rsid w:val="00110056"/>
    <w:rsid w:val="00126B88"/>
    <w:rsid w:val="00130212"/>
    <w:rsid w:val="00166085"/>
    <w:rsid w:val="0016693C"/>
    <w:rsid w:val="00172444"/>
    <w:rsid w:val="00186986"/>
    <w:rsid w:val="001A2DF6"/>
    <w:rsid w:val="001A73BD"/>
    <w:rsid w:val="001B0D0A"/>
    <w:rsid w:val="001B1F94"/>
    <w:rsid w:val="001B77B7"/>
    <w:rsid w:val="001E0920"/>
    <w:rsid w:val="00211DAA"/>
    <w:rsid w:val="00223658"/>
    <w:rsid w:val="002300C7"/>
    <w:rsid w:val="00237A3F"/>
    <w:rsid w:val="00244DA7"/>
    <w:rsid w:val="00280B25"/>
    <w:rsid w:val="0028194F"/>
    <w:rsid w:val="0029664E"/>
    <w:rsid w:val="002B1086"/>
    <w:rsid w:val="002C3D6C"/>
    <w:rsid w:val="002D053C"/>
    <w:rsid w:val="002E4382"/>
    <w:rsid w:val="002E7053"/>
    <w:rsid w:val="00300F76"/>
    <w:rsid w:val="00302EFE"/>
    <w:rsid w:val="00306C9F"/>
    <w:rsid w:val="00315879"/>
    <w:rsid w:val="0032018C"/>
    <w:rsid w:val="00344A3B"/>
    <w:rsid w:val="00345881"/>
    <w:rsid w:val="00354BDF"/>
    <w:rsid w:val="003851B2"/>
    <w:rsid w:val="00396FA6"/>
    <w:rsid w:val="003B0307"/>
    <w:rsid w:val="003D001D"/>
    <w:rsid w:val="003F1FB6"/>
    <w:rsid w:val="003F36BB"/>
    <w:rsid w:val="00423B98"/>
    <w:rsid w:val="00425653"/>
    <w:rsid w:val="00452913"/>
    <w:rsid w:val="004625F8"/>
    <w:rsid w:val="004767ED"/>
    <w:rsid w:val="004947BB"/>
    <w:rsid w:val="004B7B5D"/>
    <w:rsid w:val="004E4401"/>
    <w:rsid w:val="004E5B72"/>
    <w:rsid w:val="004F6046"/>
    <w:rsid w:val="00502BAD"/>
    <w:rsid w:val="00506E41"/>
    <w:rsid w:val="00524500"/>
    <w:rsid w:val="00527AB6"/>
    <w:rsid w:val="005345FB"/>
    <w:rsid w:val="00537FE0"/>
    <w:rsid w:val="00543753"/>
    <w:rsid w:val="00551EC4"/>
    <w:rsid w:val="0055272A"/>
    <w:rsid w:val="00560433"/>
    <w:rsid w:val="005743E3"/>
    <w:rsid w:val="005819F3"/>
    <w:rsid w:val="00591E58"/>
    <w:rsid w:val="005B01E2"/>
    <w:rsid w:val="005B239C"/>
    <w:rsid w:val="00635811"/>
    <w:rsid w:val="006477AF"/>
    <w:rsid w:val="006613FD"/>
    <w:rsid w:val="00672B99"/>
    <w:rsid w:val="00681D9F"/>
    <w:rsid w:val="0068226F"/>
    <w:rsid w:val="00691DEE"/>
    <w:rsid w:val="0069306B"/>
    <w:rsid w:val="006A1A6D"/>
    <w:rsid w:val="006A523C"/>
    <w:rsid w:val="006B4AE1"/>
    <w:rsid w:val="006D698F"/>
    <w:rsid w:val="006E50CE"/>
    <w:rsid w:val="006F68EC"/>
    <w:rsid w:val="006F7CCD"/>
    <w:rsid w:val="007238C9"/>
    <w:rsid w:val="007443D7"/>
    <w:rsid w:val="00776A56"/>
    <w:rsid w:val="007867E0"/>
    <w:rsid w:val="00787D35"/>
    <w:rsid w:val="00794287"/>
    <w:rsid w:val="007A4C2C"/>
    <w:rsid w:val="007A78B5"/>
    <w:rsid w:val="007B578F"/>
    <w:rsid w:val="007E0309"/>
    <w:rsid w:val="007E1086"/>
    <w:rsid w:val="007E7BB4"/>
    <w:rsid w:val="007F177E"/>
    <w:rsid w:val="007F4900"/>
    <w:rsid w:val="00830E14"/>
    <w:rsid w:val="0086681E"/>
    <w:rsid w:val="008732EB"/>
    <w:rsid w:val="00875201"/>
    <w:rsid w:val="00875EA5"/>
    <w:rsid w:val="00894E30"/>
    <w:rsid w:val="008B4A81"/>
    <w:rsid w:val="008B70C9"/>
    <w:rsid w:val="008C2A5E"/>
    <w:rsid w:val="008C4FD0"/>
    <w:rsid w:val="008D751F"/>
    <w:rsid w:val="00927B6E"/>
    <w:rsid w:val="009732D6"/>
    <w:rsid w:val="00983C6B"/>
    <w:rsid w:val="00983EE9"/>
    <w:rsid w:val="009913A8"/>
    <w:rsid w:val="009969AE"/>
    <w:rsid w:val="009C4F7D"/>
    <w:rsid w:val="009F2C2F"/>
    <w:rsid w:val="00A05169"/>
    <w:rsid w:val="00A22BA5"/>
    <w:rsid w:val="00A31ED8"/>
    <w:rsid w:val="00A41CEE"/>
    <w:rsid w:val="00A43177"/>
    <w:rsid w:val="00A7692F"/>
    <w:rsid w:val="00AA6877"/>
    <w:rsid w:val="00AB760D"/>
    <w:rsid w:val="00AC6DF0"/>
    <w:rsid w:val="00AD74DB"/>
    <w:rsid w:val="00AE2DBD"/>
    <w:rsid w:val="00AF30DE"/>
    <w:rsid w:val="00AF75F3"/>
    <w:rsid w:val="00B175CD"/>
    <w:rsid w:val="00B21273"/>
    <w:rsid w:val="00B23033"/>
    <w:rsid w:val="00B30B2F"/>
    <w:rsid w:val="00B31144"/>
    <w:rsid w:val="00B3370E"/>
    <w:rsid w:val="00B34434"/>
    <w:rsid w:val="00B40252"/>
    <w:rsid w:val="00B55D1F"/>
    <w:rsid w:val="00B67B17"/>
    <w:rsid w:val="00B72EE0"/>
    <w:rsid w:val="00B80890"/>
    <w:rsid w:val="00B9789E"/>
    <w:rsid w:val="00BA139F"/>
    <w:rsid w:val="00BB770C"/>
    <w:rsid w:val="00BD3DE0"/>
    <w:rsid w:val="00BE4F06"/>
    <w:rsid w:val="00BE4F0C"/>
    <w:rsid w:val="00BF254A"/>
    <w:rsid w:val="00BF4B01"/>
    <w:rsid w:val="00C05B76"/>
    <w:rsid w:val="00C12A57"/>
    <w:rsid w:val="00C315EA"/>
    <w:rsid w:val="00C3498F"/>
    <w:rsid w:val="00C3764B"/>
    <w:rsid w:val="00C42DD4"/>
    <w:rsid w:val="00C4617A"/>
    <w:rsid w:val="00C469BC"/>
    <w:rsid w:val="00C66221"/>
    <w:rsid w:val="00C67C06"/>
    <w:rsid w:val="00CA0E12"/>
    <w:rsid w:val="00CA70F8"/>
    <w:rsid w:val="00CC64B3"/>
    <w:rsid w:val="00CD424F"/>
    <w:rsid w:val="00CE1901"/>
    <w:rsid w:val="00D057B7"/>
    <w:rsid w:val="00D1019F"/>
    <w:rsid w:val="00D1270E"/>
    <w:rsid w:val="00D1435C"/>
    <w:rsid w:val="00D34902"/>
    <w:rsid w:val="00D37896"/>
    <w:rsid w:val="00D43505"/>
    <w:rsid w:val="00D53E9F"/>
    <w:rsid w:val="00D62ED9"/>
    <w:rsid w:val="00D7214E"/>
    <w:rsid w:val="00D7297F"/>
    <w:rsid w:val="00D7701F"/>
    <w:rsid w:val="00D83D1E"/>
    <w:rsid w:val="00DA52FB"/>
    <w:rsid w:val="00DB0A57"/>
    <w:rsid w:val="00DB1256"/>
    <w:rsid w:val="00DC135C"/>
    <w:rsid w:val="00DC7DD6"/>
    <w:rsid w:val="00DD7F0E"/>
    <w:rsid w:val="00E04F6F"/>
    <w:rsid w:val="00E0727E"/>
    <w:rsid w:val="00E22A4C"/>
    <w:rsid w:val="00E26FDD"/>
    <w:rsid w:val="00E3159B"/>
    <w:rsid w:val="00E42D8C"/>
    <w:rsid w:val="00E509AD"/>
    <w:rsid w:val="00E52568"/>
    <w:rsid w:val="00E73F80"/>
    <w:rsid w:val="00E766AE"/>
    <w:rsid w:val="00E82384"/>
    <w:rsid w:val="00EA4C78"/>
    <w:rsid w:val="00EB1059"/>
    <w:rsid w:val="00EC3C89"/>
    <w:rsid w:val="00EC3D23"/>
    <w:rsid w:val="00ED37E3"/>
    <w:rsid w:val="00ED5854"/>
    <w:rsid w:val="00F07362"/>
    <w:rsid w:val="00F11EAC"/>
    <w:rsid w:val="00F3067C"/>
    <w:rsid w:val="00F33680"/>
    <w:rsid w:val="00F374A1"/>
    <w:rsid w:val="00F42B25"/>
    <w:rsid w:val="00F43A80"/>
    <w:rsid w:val="00F52CD0"/>
    <w:rsid w:val="00F60E22"/>
    <w:rsid w:val="00F61667"/>
    <w:rsid w:val="00F6231D"/>
    <w:rsid w:val="00F76EE0"/>
    <w:rsid w:val="00F8789F"/>
    <w:rsid w:val="00F9049B"/>
    <w:rsid w:val="00F90D01"/>
    <w:rsid w:val="00F917C3"/>
    <w:rsid w:val="00FA5A92"/>
    <w:rsid w:val="00FB0C09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270E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270E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2021-01-11T15:34:00Z</dcterms:created>
  <dcterms:modified xsi:type="dcterms:W3CDTF">2021-01-12T01:22:00Z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