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5161" w:rsidRPr="00AE44EF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2EE0C3B4" w:rsidR="00D83D1E" w:rsidRPr="00427748" w:rsidRDefault="00690B01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427748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="00D83D1E" w:rsidRPr="00427748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AE44E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504CAEE" w14:textId="77777777" w:rsidR="00D83D1E" w:rsidRPr="00427748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368B8509" w:rsidR="00D83D1E" w:rsidRPr="00427748" w:rsidRDefault="00690B01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427748">
              <w:rPr>
                <w:rFonts w:ascii="Source Sans Pro Light" w:hAnsi="Source Sans Pro Light"/>
                <w:sz w:val="22"/>
                <w:szCs w:val="22"/>
              </w:rPr>
              <w:t>Escrito por</w:t>
            </w:r>
            <w:r w:rsidR="00D83D1E" w:rsidRPr="00427748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10412A2C" w:rsidR="00D83D1E" w:rsidRPr="00427748" w:rsidRDefault="00690B01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</w:t>
            </w:r>
            <w:r w:rsidR="00D83D1E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DD, </w:t>
            </w: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AAAA</w:t>
            </w:r>
          </w:p>
          <w:p w14:paraId="18CABBC4" w14:textId="77777777" w:rsidR="00D83D1E" w:rsidRPr="00427748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4920461" w14:textId="76DA8EFF" w:rsidR="00D83D1E" w:rsidRPr="00427748" w:rsidRDefault="00690B01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D83D1E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0BEBD3A" w14:textId="77777777" w:rsidR="00D83D1E" w:rsidRPr="00427748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95161" w:rsidRPr="00AE44EF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427748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427748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427748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195161" w:rsidRPr="00427748" w14:paraId="3F6DED8C" w14:textId="4EFB3FD1" w:rsidTr="007867E0">
        <w:tc>
          <w:tcPr>
            <w:tcW w:w="3504" w:type="dxa"/>
          </w:tcPr>
          <w:bookmarkEnd w:id="0"/>
          <w:p w14:paraId="1D32C2F5" w14:textId="73A8887A" w:rsidR="007867E0" w:rsidRPr="00427748" w:rsidRDefault="00360D24" w:rsidP="00556ABD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Documentos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 xml:space="preserve"> </w:t>
            </w: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relacionados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>:</w:t>
            </w:r>
            <w:r w:rsidR="00195161" w:rsidRPr="00427748">
              <w:rPr>
                <w:rFonts w:ascii="Source Sans Pro Semibold" w:hAnsi="Source Sans Pro Semibold"/>
                <w:smallCaps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25CCABDB" w14:textId="52216C2D" w:rsidR="004026D2" w:rsidRPr="00427748" w:rsidRDefault="00B3679C" w:rsidP="004026D2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="00195161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oja</w:t>
            </w:r>
            <w:r w:rsidR="00360D24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de </w:t>
            </w:r>
            <w:r w:rsidR="00565E04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datos de s</w:t>
            </w:r>
            <w:r w:rsidR="004026D2"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eguridad</w:t>
            </w:r>
          </w:p>
          <w:p w14:paraId="17CC1729" w14:textId="541513F3" w:rsidR="00F6231D" w:rsidRPr="00427748" w:rsidRDefault="00360D24" w:rsidP="004026D2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27748">
              <w:rPr>
                <w:rFonts w:ascii="Source Sans Pro Light" w:hAnsi="Source Sans Pro Light"/>
                <w:sz w:val="22"/>
                <w:szCs w:val="22"/>
              </w:rPr>
              <w:t>Etiquetas</w:t>
            </w:r>
            <w:proofErr w:type="spellEnd"/>
            <w:r w:rsidRPr="00427748">
              <w:rPr>
                <w:rFonts w:ascii="Source Sans Pro Light" w:hAnsi="Source Sans Pro Light"/>
                <w:sz w:val="22"/>
                <w:szCs w:val="22"/>
              </w:rPr>
              <w:t xml:space="preserve"> de</w:t>
            </w:r>
            <w:r w:rsidR="008463AF" w:rsidRPr="00427748">
              <w:rPr>
                <w:rFonts w:ascii="Source Sans Pro Light" w:hAnsi="Source Sans Pro Light"/>
                <w:sz w:val="22"/>
                <w:szCs w:val="22"/>
              </w:rPr>
              <w:t>l</w:t>
            </w:r>
            <w:r w:rsidRPr="0042774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565E04" w:rsidRPr="00427748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4026D2" w:rsidRPr="00427748">
              <w:rPr>
                <w:rFonts w:ascii="Source Sans Pro Light" w:hAnsi="Source Sans Pro Light"/>
                <w:sz w:val="22"/>
                <w:szCs w:val="22"/>
              </w:rPr>
              <w:t>roductos</w:t>
            </w:r>
            <w:proofErr w:type="spellEnd"/>
          </w:p>
        </w:tc>
      </w:tr>
      <w:tr w:rsidR="00195161" w:rsidRPr="00AE44EF" w14:paraId="458CCC66" w14:textId="515CD549" w:rsidTr="007867E0">
        <w:tc>
          <w:tcPr>
            <w:tcW w:w="3504" w:type="dxa"/>
          </w:tcPr>
          <w:p w14:paraId="459378C4" w14:textId="47AB2ECA" w:rsidR="00BA3718" w:rsidRPr="00427748" w:rsidRDefault="00BA3718" w:rsidP="00556ABD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427748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42774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42774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2774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42774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42774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427748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427748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38AC8747" w:rsidR="00427748" w:rsidRPr="00427748" w:rsidRDefault="00BA3718" w:rsidP="006D520C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usted trabaja con cualquier cantidad de productos químicos o trabaja en un ambiente en donde los productos químicos se utilizan, manipulan, almacenan, transportan o eliminan, usted debe entender los peligros </w:t>
            </w:r>
            <w:r w:rsidR="00AC437C"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involucrados </w:t>
            </w:r>
            <w:r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cómo protegerse.</w:t>
            </w:r>
            <w:r w:rsidR="00195161"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AC437C"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</w:t>
            </w:r>
            <w:r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odas las actividades en las que se utilicen productos químicos </w:t>
            </w:r>
            <w:r w:rsidR="00AC437C"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deben hacerse </w:t>
            </w:r>
            <w:r w:rsidRPr="0042774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manera en la que se garantice la seguridad de la salud humana y del medio ambiente.</w:t>
            </w:r>
            <w:r w:rsidR="006D520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195161" w:rsidRPr="00427748" w14:paraId="701CD8BE" w14:textId="6EC32419" w:rsidTr="007867E0">
        <w:tc>
          <w:tcPr>
            <w:tcW w:w="3504" w:type="dxa"/>
          </w:tcPr>
          <w:p w14:paraId="01F35BFE" w14:textId="52AE4C17" w:rsidR="00BA3718" w:rsidRPr="00427748" w:rsidRDefault="00BA3718" w:rsidP="00556ABD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Peligros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 xml:space="preserve"> y </w:t>
            </w: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riesgos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79589526" w14:textId="0989DD20" w:rsidR="00BA3718" w:rsidRPr="00427748" w:rsidRDefault="00BA3718" w:rsidP="004026D2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lang w:val="es-MX"/>
              </w:rPr>
              <w:t>Lesiones personales</w:t>
            </w:r>
            <w:r w:rsidR="00AC437C" w:rsidRPr="00427748">
              <w:rPr>
                <w:rFonts w:ascii="Source Sans Pro Light" w:hAnsi="Source Sans Pro Light"/>
                <w:sz w:val="22"/>
                <w:lang w:val="es-MX"/>
              </w:rPr>
              <w:t>,</w:t>
            </w:r>
            <w:r w:rsidRPr="00427748">
              <w:rPr>
                <w:rFonts w:ascii="Source Sans Pro Light" w:hAnsi="Source Sans Pro Light"/>
                <w:sz w:val="22"/>
                <w:lang w:val="es-MX"/>
              </w:rPr>
              <w:t xml:space="preserve"> como salpicaduras, quemaduras, ingestión...</w:t>
            </w:r>
          </w:p>
          <w:p w14:paraId="565EC43F" w14:textId="3865EAD4" w:rsidR="00BA3718" w:rsidRPr="00427748" w:rsidRDefault="00BA3718" w:rsidP="004026D2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427748">
              <w:rPr>
                <w:rFonts w:ascii="Source Sans Pro Light" w:hAnsi="Source Sans Pro Light"/>
                <w:sz w:val="22"/>
              </w:rPr>
              <w:t>Derrames</w:t>
            </w:r>
            <w:proofErr w:type="spellEnd"/>
          </w:p>
          <w:p w14:paraId="4F4CD0E3" w14:textId="320BAC5B" w:rsidR="00BA3718" w:rsidRPr="00427748" w:rsidRDefault="00BA3718" w:rsidP="004026D2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27748">
              <w:rPr>
                <w:rFonts w:ascii="Source Sans Pro Light" w:hAnsi="Source Sans Pro Light"/>
                <w:sz w:val="22"/>
              </w:rPr>
              <w:t>Reacciones</w:t>
            </w:r>
            <w:proofErr w:type="spellEnd"/>
            <w:r w:rsidRPr="00427748">
              <w:rPr>
                <w:rFonts w:ascii="Source Sans Pro Light" w:hAnsi="Source Sans Pro Light"/>
                <w:sz w:val="22"/>
              </w:rPr>
              <w:t xml:space="preserve"> con </w:t>
            </w:r>
            <w:proofErr w:type="spellStart"/>
            <w:r w:rsidRPr="00427748">
              <w:rPr>
                <w:rFonts w:ascii="Source Sans Pro Light" w:hAnsi="Source Sans Pro Light"/>
                <w:sz w:val="22"/>
              </w:rPr>
              <w:t>otros</w:t>
            </w:r>
            <w:proofErr w:type="spellEnd"/>
            <w:r w:rsidRPr="00427748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Pr="00427748">
              <w:rPr>
                <w:rFonts w:ascii="Source Sans Pro Light" w:hAnsi="Source Sans Pro Light"/>
                <w:sz w:val="22"/>
              </w:rPr>
              <w:t>productos</w:t>
            </w:r>
            <w:proofErr w:type="spellEnd"/>
          </w:p>
        </w:tc>
      </w:tr>
      <w:tr w:rsidR="00195161" w:rsidRPr="00AE44EF" w14:paraId="265245F6" w14:textId="6CDB2DE7" w:rsidTr="007867E0">
        <w:tc>
          <w:tcPr>
            <w:tcW w:w="3504" w:type="dxa"/>
          </w:tcPr>
          <w:p w14:paraId="6B1F2EC6" w14:textId="448E1A4B" w:rsidR="00BA3718" w:rsidRPr="00427748" w:rsidRDefault="00BA3718" w:rsidP="00556ABD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Equipo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protección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2F7CEB0F" w14:textId="4E61B358" w:rsidR="00BA3718" w:rsidRPr="00427748" w:rsidRDefault="0084700C" w:rsidP="006D520C">
            <w:pPr>
              <w:rPr>
                <w:rFonts w:ascii="Source Sans Pro Light" w:hAnsi="Source Sans Pro Light"/>
                <w:smallCaps/>
                <w:lang w:val="es-MX"/>
              </w:rPr>
            </w:pPr>
            <w:r>
              <w:rPr>
                <w:rFonts w:ascii="Source Sans Pro Light" w:hAnsi="Source Sans Pro Light"/>
                <w:sz w:val="22"/>
                <w:lang w:val="es-MX"/>
              </w:rPr>
              <w:t xml:space="preserve">Aprobado por CSA: </w:t>
            </w:r>
            <w:r w:rsidR="00BA3718" w:rsidRPr="00427748">
              <w:rPr>
                <w:rFonts w:ascii="Source Sans Pro Light" w:hAnsi="Source Sans Pro Light"/>
                <w:sz w:val="22"/>
                <w:lang w:val="es-MX"/>
              </w:rPr>
              <w:t xml:space="preserve">equipo de protección personal </w:t>
            </w:r>
            <w:r>
              <w:rPr>
                <w:rFonts w:ascii="Source Sans Pro Light" w:hAnsi="Source Sans Pro Light"/>
                <w:sz w:val="22"/>
                <w:lang w:val="es-MX"/>
              </w:rPr>
              <w:t>de acuerdo a la hoja de datos de seguridad (SDS)</w:t>
            </w:r>
          </w:p>
        </w:tc>
      </w:tr>
      <w:tr w:rsidR="00195161" w:rsidRPr="0084700C" w14:paraId="6F305D66" w14:textId="748B3281" w:rsidTr="007867E0">
        <w:tc>
          <w:tcPr>
            <w:tcW w:w="3504" w:type="dxa"/>
          </w:tcPr>
          <w:p w14:paraId="5D3C5908" w14:textId="267AFFA3" w:rsidR="00BA3718" w:rsidRPr="00427748" w:rsidRDefault="00BA3718" w:rsidP="00556ABD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0B068526" w14:textId="7D2017EB" w:rsidR="00BA3718" w:rsidRDefault="00D6612E" w:rsidP="00427748">
            <w:pPr>
              <w:pStyle w:val="Prrafodelista"/>
              <w:rPr>
                <w:rFonts w:ascii="Source Sans Pro Light" w:hAnsi="Source Sans Pro Light"/>
                <w:sz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lang w:val="es-MX"/>
              </w:rPr>
              <w:t xml:space="preserve">WHMIS </w:t>
            </w:r>
            <w:r w:rsidR="00427748">
              <w:rPr>
                <w:rFonts w:ascii="Source Sans Pro Light" w:hAnsi="Source Sans Pro Light"/>
                <w:sz w:val="22"/>
                <w:lang w:val="es-MX"/>
              </w:rPr>
              <w:t>2015</w:t>
            </w:r>
          </w:p>
          <w:p w14:paraId="1B1D7F85" w14:textId="7B46A55B" w:rsidR="00427748" w:rsidRPr="00427748" w:rsidRDefault="00427748" w:rsidP="00427748">
            <w:pPr>
              <w:pStyle w:val="Prrafodelista"/>
              <w:rPr>
                <w:rFonts w:ascii="Source Sans Pro Light" w:hAnsi="Source Sans Pro Light"/>
                <w:smallCaps/>
                <w:lang w:val="es-MX"/>
              </w:rPr>
            </w:pPr>
          </w:p>
        </w:tc>
      </w:tr>
      <w:tr w:rsidR="00195161" w:rsidRPr="00AE44EF" w14:paraId="454C556C" w14:textId="09117A47" w:rsidTr="007867E0">
        <w:tc>
          <w:tcPr>
            <w:tcW w:w="3504" w:type="dxa"/>
          </w:tcPr>
          <w:p w14:paraId="5C04F588" w14:textId="4083EB9C" w:rsidR="00BA3718" w:rsidRPr="00427748" w:rsidRDefault="00BA3718" w:rsidP="00556ABD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Proceso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427748">
              <w:rPr>
                <w:rFonts w:ascii="Source Sans Pro Semibold" w:hAnsi="Source Sans Pro Semibold"/>
                <w:smallCaps/>
              </w:rPr>
              <w:t>comunicación</w:t>
            </w:r>
            <w:proofErr w:type="spellEnd"/>
            <w:r w:rsidRPr="00427748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4C14D28A" w14:textId="5B9ED5C0" w:rsidR="00BA3718" w:rsidRPr="00427748" w:rsidRDefault="00AC437C" w:rsidP="004026D2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lang w:val="es-MX"/>
              </w:rPr>
              <w:t>Tener a</w:t>
            </w:r>
            <w:r w:rsidR="00BA3718" w:rsidRPr="00427748">
              <w:rPr>
                <w:rFonts w:ascii="Source Sans Pro Light" w:hAnsi="Source Sans Pro Light"/>
                <w:sz w:val="22"/>
                <w:lang w:val="es-MX"/>
              </w:rPr>
              <w:t xml:space="preserve"> mano</w:t>
            </w:r>
            <w:r w:rsidR="00195161" w:rsidRPr="00427748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427748">
              <w:rPr>
                <w:rFonts w:ascii="Source Sans Pro Light" w:hAnsi="Source Sans Pro Light"/>
                <w:sz w:val="22"/>
                <w:lang w:val="es-MX"/>
              </w:rPr>
              <w:t xml:space="preserve">las </w:t>
            </w:r>
            <w:r w:rsidR="00195161" w:rsidRPr="00427748">
              <w:rPr>
                <w:rFonts w:ascii="Source Sans Pro Light" w:hAnsi="Source Sans Pro Light"/>
                <w:sz w:val="22"/>
                <w:lang w:val="es-MX"/>
              </w:rPr>
              <w:t>hoja</w:t>
            </w:r>
            <w:r w:rsidR="00BA3718" w:rsidRPr="00427748">
              <w:rPr>
                <w:rFonts w:ascii="Source Sans Pro Light" w:hAnsi="Source Sans Pro Light"/>
                <w:sz w:val="22"/>
                <w:lang w:val="es-MX"/>
              </w:rPr>
              <w:t xml:space="preserve">s de </w:t>
            </w:r>
            <w:r w:rsidRPr="00427748">
              <w:rPr>
                <w:rFonts w:ascii="Source Sans Pro Light" w:hAnsi="Source Sans Pro Light"/>
                <w:sz w:val="22"/>
                <w:lang w:val="es-MX"/>
              </w:rPr>
              <w:t>datos de segu</w:t>
            </w:r>
            <w:r w:rsidR="00BA3718" w:rsidRPr="00427748">
              <w:rPr>
                <w:rFonts w:ascii="Source Sans Pro Light" w:hAnsi="Source Sans Pro Light"/>
                <w:sz w:val="22"/>
                <w:lang w:val="es-MX"/>
              </w:rPr>
              <w:t>ridad</w:t>
            </w:r>
          </w:p>
          <w:p w14:paraId="431B556C" w14:textId="77777777" w:rsidR="00427748" w:rsidRDefault="00BA3718" w:rsidP="00427748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427748">
              <w:rPr>
                <w:rFonts w:ascii="Source Sans Pro Light" w:hAnsi="Source Sans Pro Light"/>
                <w:sz w:val="22"/>
                <w:lang w:val="es-MX"/>
              </w:rPr>
              <w:t>Todos los productos con etiquetas legibles</w:t>
            </w:r>
          </w:p>
          <w:p w14:paraId="7E8CB63A" w14:textId="233BAAFC" w:rsidR="00427748" w:rsidRPr="00427748" w:rsidRDefault="00427748" w:rsidP="00427748">
            <w:pPr>
              <w:pStyle w:val="Prrafodelista"/>
              <w:rPr>
                <w:rFonts w:ascii="Source Sans Pro Light" w:hAnsi="Source Sans Pro Light"/>
                <w:sz w:val="22"/>
                <w:lang w:val="es-MX"/>
              </w:rPr>
            </w:pPr>
          </w:p>
        </w:tc>
      </w:tr>
      <w:tr w:rsidR="00195161" w:rsidRPr="00AE44EF" w14:paraId="62A94C0F" w14:textId="5BD55109" w:rsidTr="007867E0">
        <w:tc>
          <w:tcPr>
            <w:tcW w:w="3504" w:type="dxa"/>
          </w:tcPr>
          <w:p w14:paraId="4ADB85D0" w14:textId="3A177B54" w:rsidR="00BA3718" w:rsidRPr="00195161" w:rsidRDefault="00BA3718" w:rsidP="00556ABD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195161">
              <w:rPr>
                <w:rFonts w:ascii="Source Sans Pro Semibold" w:hAnsi="Source Sans Pro Semibold"/>
                <w:smallCaps/>
              </w:rPr>
              <w:t>Equipo</w:t>
            </w:r>
            <w:proofErr w:type="spellEnd"/>
            <w:r w:rsidRPr="00195161">
              <w:rPr>
                <w:rFonts w:ascii="Source Sans Pro Semibold" w:hAnsi="Source Sans Pro Semibold"/>
                <w:smallCaps/>
              </w:rPr>
              <w:t xml:space="preserve"> y </w:t>
            </w:r>
            <w:proofErr w:type="spellStart"/>
            <w:r w:rsidRPr="00195161">
              <w:rPr>
                <w:rFonts w:ascii="Source Sans Pro Semibold" w:hAnsi="Source Sans Pro Semibold"/>
                <w:smallCaps/>
              </w:rPr>
              <w:t>suministros</w:t>
            </w:r>
            <w:proofErr w:type="spellEnd"/>
            <w:r w:rsidRPr="00195161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1D556467" w14:textId="48697D71" w:rsidR="00BA3718" w:rsidRPr="00195161" w:rsidRDefault="00BA3718" w:rsidP="004026D2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95161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195161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AC437C" w:rsidRPr="00195161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AC437C" w:rsidRPr="0019516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AC437C" w:rsidRPr="00195161">
              <w:rPr>
                <w:rFonts w:ascii="Source Sans Pro Light" w:hAnsi="Source Sans Pro Light"/>
                <w:sz w:val="22"/>
                <w:szCs w:val="22"/>
              </w:rPr>
              <w:t>aux</w:t>
            </w:r>
            <w:r w:rsidRPr="00195161">
              <w:rPr>
                <w:rFonts w:ascii="Source Sans Pro Light" w:hAnsi="Source Sans Pro Light"/>
                <w:sz w:val="22"/>
                <w:szCs w:val="22"/>
              </w:rPr>
              <w:t>ilios</w:t>
            </w:r>
            <w:proofErr w:type="spellEnd"/>
          </w:p>
          <w:p w14:paraId="6FF974CB" w14:textId="51C6A325" w:rsidR="00BA3718" w:rsidRPr="00195161" w:rsidRDefault="00BA3718" w:rsidP="004026D2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95161">
              <w:rPr>
                <w:rFonts w:ascii="Source Sans Pro Light" w:hAnsi="Source Sans Pro Light"/>
                <w:sz w:val="22"/>
                <w:szCs w:val="22"/>
              </w:rPr>
              <w:t>Lavaojo</w:t>
            </w:r>
            <w:bookmarkStart w:id="1" w:name="_GoBack"/>
            <w:bookmarkEnd w:id="1"/>
            <w:r w:rsidRPr="00195161">
              <w:rPr>
                <w:rFonts w:ascii="Source Sans Pro Light" w:hAnsi="Source Sans Pro Light"/>
                <w:sz w:val="22"/>
                <w:szCs w:val="22"/>
              </w:rPr>
              <w:t>s</w:t>
            </w:r>
            <w:proofErr w:type="spellEnd"/>
            <w:r w:rsidRPr="0019516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002847C" w14:textId="11FE393C" w:rsidR="00BA3718" w:rsidRPr="00195161" w:rsidRDefault="00BA3718" w:rsidP="004026D2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95161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195161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AC437C" w:rsidRPr="00195161">
              <w:rPr>
                <w:rFonts w:ascii="Source Sans Pro Light" w:hAnsi="Source Sans Pro Light"/>
                <w:sz w:val="22"/>
                <w:szCs w:val="22"/>
              </w:rPr>
              <w:t>i</w:t>
            </w:r>
            <w:r w:rsidRPr="00195161">
              <w:rPr>
                <w:rFonts w:ascii="Source Sans Pro Light" w:hAnsi="Source Sans Pro Light"/>
                <w:sz w:val="22"/>
                <w:szCs w:val="22"/>
              </w:rPr>
              <w:t>ncendios</w:t>
            </w:r>
            <w:proofErr w:type="spellEnd"/>
          </w:p>
          <w:p w14:paraId="0BA162E4" w14:textId="60E67CD3" w:rsidR="00BA3718" w:rsidRPr="00195161" w:rsidRDefault="00BA3718" w:rsidP="004026D2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95161">
              <w:rPr>
                <w:rFonts w:ascii="Source Sans Pro Light" w:hAnsi="Source Sans Pro Light"/>
                <w:sz w:val="22"/>
                <w:szCs w:val="22"/>
              </w:rPr>
              <w:t xml:space="preserve">Kit de </w:t>
            </w:r>
            <w:proofErr w:type="spellStart"/>
            <w:r w:rsidR="00AC437C" w:rsidRPr="00195161"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Pr="00195161">
              <w:rPr>
                <w:rFonts w:ascii="Source Sans Pro Light" w:hAnsi="Source Sans Pro Light"/>
                <w:sz w:val="22"/>
                <w:szCs w:val="22"/>
              </w:rPr>
              <w:t>errame</w:t>
            </w:r>
            <w:proofErr w:type="spellEnd"/>
          </w:p>
          <w:p w14:paraId="2192BEFB" w14:textId="4DCE79DF" w:rsidR="00427748" w:rsidRPr="00195161" w:rsidRDefault="00BA3718" w:rsidP="006D520C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AC437C" w:rsidRPr="00195161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195161">
              <w:rPr>
                <w:rFonts w:ascii="Source Sans Pro Light" w:hAnsi="Source Sans Pro Light"/>
                <w:sz w:val="22"/>
                <w:szCs w:val="22"/>
                <w:lang w:val="es-MX"/>
              </w:rPr>
              <w:t>elular/</w:t>
            </w:r>
            <w:r w:rsidR="00AC437C" w:rsidRPr="00195161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195161">
              <w:rPr>
                <w:rFonts w:ascii="Source Sans Pro Light" w:hAnsi="Source Sans Pro Light"/>
                <w:sz w:val="22"/>
                <w:szCs w:val="22"/>
                <w:lang w:val="es-MX"/>
              </w:rPr>
              <w:t>nteligente o radio de dos vías</w:t>
            </w:r>
          </w:p>
        </w:tc>
      </w:tr>
      <w:tr w:rsidR="00195161" w:rsidRPr="00AE44EF" w14:paraId="6107FD88" w14:textId="09B83638" w:rsidTr="00BB271F">
        <w:tc>
          <w:tcPr>
            <w:tcW w:w="9350" w:type="dxa"/>
            <w:gridSpan w:val="3"/>
          </w:tcPr>
          <w:p w14:paraId="1EADA82A" w14:textId="581380D9" w:rsidR="00BA3718" w:rsidRPr="00195161" w:rsidRDefault="00BA3718" w:rsidP="00506E41">
            <w:pPr>
              <w:spacing w:after="120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proofErr w:type="spellStart"/>
            <w:r w:rsidRPr="00195161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</w:t>
            </w:r>
            <w:proofErr w:type="spellEnd"/>
            <w:r w:rsidRPr="00195161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:</w:t>
            </w:r>
          </w:p>
          <w:p w14:paraId="1265545C" w14:textId="777B169D" w:rsidR="00BA3718" w:rsidRPr="00195161" w:rsidRDefault="00D6612E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</w:t>
            </w:r>
            <w:r w:rsidR="00B3679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ar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entrenado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A3718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WHMIS 2015 antes de trabajar con productos químicos.</w:t>
            </w:r>
          </w:p>
          <w:p w14:paraId="54621427" w14:textId="1199E5CC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Aprend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leer y 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utilizar la 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hoja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seguridad. </w:t>
            </w:r>
          </w:p>
          <w:p w14:paraId="51AC07FD" w14:textId="47A86106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Debe estar disponible una lista de todos los químicos usados y almacenados en la granja.</w:t>
            </w:r>
          </w:p>
          <w:p w14:paraId="4FBB5D5C" w14:textId="31C2FB09" w:rsidR="00BA3718" w:rsidRPr="00195161" w:rsidRDefault="00195161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B3679C">
              <w:rPr>
                <w:rFonts w:ascii="Source Sans Pro Light" w:hAnsi="Source Sans Pro Light" w:cs="Arial"/>
                <w:sz w:val="6"/>
                <w:szCs w:val="6"/>
                <w:lang w:val="es-MX"/>
              </w:rPr>
              <w:t xml:space="preserve"> </w:t>
            </w:r>
            <w:r w:rsidR="00BA3718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Una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hoja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A3718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debe estar disponible para todos los productos químicos utilizados.</w:t>
            </w:r>
          </w:p>
          <w:p w14:paraId="61F97434" w14:textId="33692E5C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necesita entrenamiento para entender las propiedades químicas y los peligros de la lista.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Una 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hoja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también informará cómo protegerse y qué hacer si algo sale mal.</w:t>
            </w:r>
          </w:p>
          <w:p w14:paraId="39EBCA4E" w14:textId="64CA27A1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>Aprenda a leer la etiqueta de un producto químico.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necesario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aprender la terminología y los símbolos relacionados con los peligros químicos.</w:t>
            </w:r>
          </w:p>
          <w:p w14:paraId="25BCDCE4" w14:textId="481F8C81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Cono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zca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las señales de seguridad química, como los símbolos y pictogramas de peligro. Los letreros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 indican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7E346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peligros, incluyendo los materiales inflamables almacenados que deb</w:t>
            </w:r>
            <w:r w:rsidR="00B3679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mantenerse alejados de las fuentes de ignición.</w:t>
            </w:r>
          </w:p>
          <w:p w14:paraId="5972E667" w14:textId="3DE31820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Use y mantenga el equipo de protección personal adecuado para evitar el contacto con sustancias químicas.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elección y el uso de un equipo hecho de los materiales adecuados es vital.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se requiere un respirador, éste debe ser del tipo adecuado para el 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tipo de </w:t>
            </w:r>
            <w:r w:rsidR="007E346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peligro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debe estar bien ajustado y en buen estado de funcionamiento.</w:t>
            </w:r>
          </w:p>
          <w:p w14:paraId="27FDD383" w14:textId="5342889B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 debe s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aber qué hacer en caso de emergencia.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Debe conocer la ubicación de los puestos de lavado de ojos de emergencia en su área de trabajo para poder encontrarlos rápidamente, incluso si está cegado por una salpicadura química.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Aprenda a usar este equipo antes de que ocurra una emergencia.</w:t>
            </w:r>
          </w:p>
          <w:p w14:paraId="4FA8171D" w14:textId="3240F2C2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Averigüe cuáles son los peligros de los productos químicos en la granja.</w:t>
            </w:r>
          </w:p>
          <w:p w14:paraId="7E8B9B28" w14:textId="6E650123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Asegúrese de que los productos químicos de la granja estén almacenados correctamente.</w:t>
            </w:r>
          </w:p>
          <w:p w14:paraId="4CCC55C0" w14:textId="7BB6900F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Utilice los productos químicos únicamente para el uso previsto.</w:t>
            </w:r>
          </w:p>
          <w:p w14:paraId="56028948" w14:textId="4C21597E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mezcle los productos químicos a menos</w:t>
            </w:r>
            <w:r w:rsidR="007E3460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que se indique lo contrario en la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hoja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 w:rsidR="00D6612E" w:rsidRPr="00195161" w:rsidDel="00D6612E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 en la etiqueta.</w:t>
            </w:r>
          </w:p>
          <w:p w14:paraId="3A596387" w14:textId="7F582ECB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iempre que sea posible, s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ustituya los productos químicos peligrosos por otros más respetuosos con el medio ambiente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B04C8D9" w14:textId="7FC0A67B" w:rsidR="00BA3718" w:rsidRPr="00195161" w:rsidRDefault="00BA3718" w:rsidP="004026D2">
            <w:pPr>
              <w:numPr>
                <w:ilvl w:val="0"/>
                <w:numId w:val="10"/>
              </w:numPr>
              <w:spacing w:after="120" w:line="276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Deseche los productos químicos y el material empapado con el producto químico, de acuerdo con la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hoja</w:t>
            </w:r>
            <w:r w:rsidR="00D6612E"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datos de seguridad</w:t>
            </w:r>
            <w:r w:rsid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la etiqueta</w:t>
            </w:r>
            <w:r w:rsidR="00AE44E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</w:tc>
      </w:tr>
      <w:tr w:rsidR="00195161" w:rsidRPr="00AE44EF" w14:paraId="49D84C94" w14:textId="77777777" w:rsidTr="00DE4CC9">
        <w:tc>
          <w:tcPr>
            <w:tcW w:w="4675" w:type="dxa"/>
            <w:gridSpan w:val="2"/>
          </w:tcPr>
          <w:p w14:paraId="7B63B0E8" w14:textId="7ADC6461" w:rsidR="00BA3718" w:rsidRPr="00195161" w:rsidRDefault="00BA3718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195161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195161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195161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195161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195161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195161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195161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0E635FF9" w:rsidR="00BA3718" w:rsidRPr="00195161" w:rsidRDefault="00BA3718" w:rsidP="00BA3718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195161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195161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195161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195161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Pr="00195161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</w:p>
        </w:tc>
      </w:tr>
    </w:tbl>
    <w:p w14:paraId="5E19FC29" w14:textId="25EB9F7E" w:rsidR="00130212" w:rsidRPr="00195161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195161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94A7" w14:textId="77777777" w:rsidR="00DD1C44" w:rsidRDefault="00DD1C44" w:rsidP="00FF42F5">
      <w:pPr>
        <w:spacing w:line="240" w:lineRule="auto"/>
      </w:pPr>
      <w:r>
        <w:separator/>
      </w:r>
    </w:p>
  </w:endnote>
  <w:endnote w:type="continuationSeparator" w:id="0">
    <w:p w14:paraId="39876ED0" w14:textId="77777777" w:rsidR="00DD1C44" w:rsidRDefault="00DD1C44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CAF7" w14:textId="77777777" w:rsidR="00195161" w:rsidRPr="00195161" w:rsidRDefault="00195161" w:rsidP="00195161">
    <w:pPr>
      <w:spacing w:line="240" w:lineRule="auto"/>
      <w:jc w:val="both"/>
      <w:rPr>
        <w:rFonts w:cs="Calibri"/>
        <w:sz w:val="6"/>
        <w:szCs w:val="6"/>
        <w:lang w:val="es-MX" w:eastAsia="en-CA"/>
      </w:rPr>
    </w:pPr>
  </w:p>
  <w:p w14:paraId="4AAEBED3" w14:textId="77777777" w:rsidR="00BA3718" w:rsidRPr="00195161" w:rsidRDefault="00BA3718" w:rsidP="00195161">
    <w:pPr>
      <w:spacing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195161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77D0701" w14:textId="29CD82DC" w:rsidR="00195161" w:rsidRPr="00195161" w:rsidRDefault="00BA3718" w:rsidP="00195161">
    <w:pPr>
      <w:spacing w:line="240" w:lineRule="auto"/>
      <w:rPr>
        <w:rFonts w:cs="Calibri"/>
        <w:sz w:val="18"/>
        <w:szCs w:val="18"/>
        <w:lang w:val="es-MX" w:eastAsia="en-CA"/>
      </w:rPr>
    </w:pPr>
    <w:r w:rsidRPr="00195161">
      <w:rPr>
        <w:rFonts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DC5D" w14:textId="77777777" w:rsidR="00DD1C44" w:rsidRDefault="00DD1C44" w:rsidP="00FF42F5">
      <w:pPr>
        <w:spacing w:line="240" w:lineRule="auto"/>
      </w:pPr>
      <w:r>
        <w:separator/>
      </w:r>
    </w:p>
  </w:footnote>
  <w:footnote w:type="continuationSeparator" w:id="0">
    <w:p w14:paraId="0940432D" w14:textId="77777777" w:rsidR="00DD1C44" w:rsidRDefault="00DD1C44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4901" w14:textId="3A7F946D" w:rsidR="00195161" w:rsidRDefault="00690B01" w:rsidP="00B3679C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690B01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SEGURIDAD QUÍMICA </w:t>
    </w:r>
    <w:r w:rsidR="00AC3AD0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- </w:t>
    </w:r>
    <w:r w:rsidRPr="00690B01">
      <w:rPr>
        <w:rFonts w:ascii="Source Sans Pro Light" w:hAnsi="Source Sans Pro Light"/>
        <w:b/>
        <w:bCs/>
        <w:caps/>
        <w:sz w:val="24"/>
        <w:szCs w:val="24"/>
        <w:lang w:val="es-MX"/>
      </w:rPr>
      <w:t>PRÁCTICA DE TRABAJO SEGUR</w:t>
    </w:r>
    <w:r w:rsidR="000C4AF8">
      <w:rPr>
        <w:rFonts w:ascii="Source Sans Pro Light" w:hAnsi="Source Sans Pro Light"/>
        <w:b/>
        <w:bCs/>
        <w:caps/>
        <w:sz w:val="24"/>
        <w:szCs w:val="24"/>
        <w:lang w:val="es-MX"/>
      </w:rPr>
      <w:t>O</w:t>
    </w:r>
    <w:r w:rsidRPr="00690B01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6EC76222" w:rsidR="00F60E22" w:rsidRDefault="00AC3AD0" w:rsidP="00B3679C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690B01">
      <w:rPr>
        <w:rFonts w:ascii="Source Sans Pro Light" w:hAnsi="Source Sans Pro Light"/>
        <w:b/>
        <w:bCs/>
        <w:caps/>
        <w:sz w:val="24"/>
        <w:szCs w:val="24"/>
        <w:lang w:val="es-MX"/>
      </w:rPr>
      <w:t>&lt;&lt; NOMBRE DE LA GRANJA &gt;&gt;</w:t>
    </w:r>
  </w:p>
  <w:p w14:paraId="05263A01" w14:textId="77777777" w:rsidR="006D520C" w:rsidRPr="00690B01" w:rsidRDefault="006D520C" w:rsidP="00B3679C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6"/>
  </w:num>
  <w:num w:numId="9">
    <w:abstractNumId w:val="14"/>
  </w:num>
  <w:num w:numId="10">
    <w:abstractNumId w:val="21"/>
  </w:num>
  <w:num w:numId="11">
    <w:abstractNumId w:val="20"/>
  </w:num>
  <w:num w:numId="12">
    <w:abstractNumId w:val="13"/>
  </w:num>
  <w:num w:numId="13">
    <w:abstractNumId w:val="19"/>
  </w:num>
  <w:num w:numId="14">
    <w:abstractNumId w:val="15"/>
  </w:num>
  <w:num w:numId="15">
    <w:abstractNumId w:val="5"/>
  </w:num>
  <w:num w:numId="16">
    <w:abstractNumId w:val="18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276D1"/>
    <w:rsid w:val="000632E3"/>
    <w:rsid w:val="00064012"/>
    <w:rsid w:val="00085F33"/>
    <w:rsid w:val="000A31DF"/>
    <w:rsid w:val="000C108D"/>
    <w:rsid w:val="000C4AF8"/>
    <w:rsid w:val="000E01F4"/>
    <w:rsid w:val="000E7B97"/>
    <w:rsid w:val="000F115B"/>
    <w:rsid w:val="00102FC6"/>
    <w:rsid w:val="00110056"/>
    <w:rsid w:val="00130212"/>
    <w:rsid w:val="00142A9D"/>
    <w:rsid w:val="00164893"/>
    <w:rsid w:val="00166085"/>
    <w:rsid w:val="00172444"/>
    <w:rsid w:val="00186986"/>
    <w:rsid w:val="00195161"/>
    <w:rsid w:val="001A2DF6"/>
    <w:rsid w:val="001B77B7"/>
    <w:rsid w:val="001E0920"/>
    <w:rsid w:val="001F4E72"/>
    <w:rsid w:val="00211DAA"/>
    <w:rsid w:val="002300C7"/>
    <w:rsid w:val="00237A3F"/>
    <w:rsid w:val="00272140"/>
    <w:rsid w:val="002B1086"/>
    <w:rsid w:val="002C3D6C"/>
    <w:rsid w:val="002D03B4"/>
    <w:rsid w:val="002E24AE"/>
    <w:rsid w:val="00300F76"/>
    <w:rsid w:val="00306C9F"/>
    <w:rsid w:val="00315879"/>
    <w:rsid w:val="00360D24"/>
    <w:rsid w:val="003851B2"/>
    <w:rsid w:val="00396FA6"/>
    <w:rsid w:val="003B0307"/>
    <w:rsid w:val="003B77CF"/>
    <w:rsid w:val="003D001D"/>
    <w:rsid w:val="004026D2"/>
    <w:rsid w:val="00423B98"/>
    <w:rsid w:val="004242E4"/>
    <w:rsid w:val="00425653"/>
    <w:rsid w:val="00427748"/>
    <w:rsid w:val="00452913"/>
    <w:rsid w:val="004625F8"/>
    <w:rsid w:val="004947BB"/>
    <w:rsid w:val="00496F18"/>
    <w:rsid w:val="004A2495"/>
    <w:rsid w:val="004A767C"/>
    <w:rsid w:val="004B7B5D"/>
    <w:rsid w:val="004E0F7B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65E04"/>
    <w:rsid w:val="005743E3"/>
    <w:rsid w:val="005944B3"/>
    <w:rsid w:val="005B239C"/>
    <w:rsid w:val="005D1187"/>
    <w:rsid w:val="005F3F94"/>
    <w:rsid w:val="00635811"/>
    <w:rsid w:val="006477AF"/>
    <w:rsid w:val="00672B99"/>
    <w:rsid w:val="0068226F"/>
    <w:rsid w:val="00690B01"/>
    <w:rsid w:val="00696404"/>
    <w:rsid w:val="006A1A6D"/>
    <w:rsid w:val="006B10CA"/>
    <w:rsid w:val="006B4AE1"/>
    <w:rsid w:val="006D520C"/>
    <w:rsid w:val="006D698F"/>
    <w:rsid w:val="006F68EC"/>
    <w:rsid w:val="00711E3C"/>
    <w:rsid w:val="00727821"/>
    <w:rsid w:val="007443D7"/>
    <w:rsid w:val="007867E0"/>
    <w:rsid w:val="00794287"/>
    <w:rsid w:val="00794953"/>
    <w:rsid w:val="007E0309"/>
    <w:rsid w:val="007E1086"/>
    <w:rsid w:val="007E3460"/>
    <w:rsid w:val="007F177E"/>
    <w:rsid w:val="007F4900"/>
    <w:rsid w:val="0081283C"/>
    <w:rsid w:val="00826FE0"/>
    <w:rsid w:val="008463AF"/>
    <w:rsid w:val="0084700C"/>
    <w:rsid w:val="0086681E"/>
    <w:rsid w:val="008732EB"/>
    <w:rsid w:val="00875EA5"/>
    <w:rsid w:val="008B4A81"/>
    <w:rsid w:val="008B70C9"/>
    <w:rsid w:val="008C2A5E"/>
    <w:rsid w:val="008C4FD0"/>
    <w:rsid w:val="008D751F"/>
    <w:rsid w:val="00902114"/>
    <w:rsid w:val="009115F7"/>
    <w:rsid w:val="0092489A"/>
    <w:rsid w:val="00963E6A"/>
    <w:rsid w:val="00983C6B"/>
    <w:rsid w:val="009C4F7D"/>
    <w:rsid w:val="009E0B2D"/>
    <w:rsid w:val="009E381C"/>
    <w:rsid w:val="00A17BD8"/>
    <w:rsid w:val="00A22BA5"/>
    <w:rsid w:val="00A41CEE"/>
    <w:rsid w:val="00A43177"/>
    <w:rsid w:val="00AA6877"/>
    <w:rsid w:val="00AB36C1"/>
    <w:rsid w:val="00AB4DA6"/>
    <w:rsid w:val="00AB760D"/>
    <w:rsid w:val="00AC3AD0"/>
    <w:rsid w:val="00AC437C"/>
    <w:rsid w:val="00AC6DF0"/>
    <w:rsid w:val="00AD74DB"/>
    <w:rsid w:val="00AE44EF"/>
    <w:rsid w:val="00B175CD"/>
    <w:rsid w:val="00B21273"/>
    <w:rsid w:val="00B34434"/>
    <w:rsid w:val="00B3679C"/>
    <w:rsid w:val="00B67B17"/>
    <w:rsid w:val="00B7508C"/>
    <w:rsid w:val="00B8012D"/>
    <w:rsid w:val="00BA139F"/>
    <w:rsid w:val="00BA3718"/>
    <w:rsid w:val="00BA41F7"/>
    <w:rsid w:val="00BB770C"/>
    <w:rsid w:val="00BD3DE0"/>
    <w:rsid w:val="00BE4F0C"/>
    <w:rsid w:val="00BF254A"/>
    <w:rsid w:val="00C12A57"/>
    <w:rsid w:val="00C3498F"/>
    <w:rsid w:val="00C3764B"/>
    <w:rsid w:val="00C42DD4"/>
    <w:rsid w:val="00C67D8E"/>
    <w:rsid w:val="00CC5D8F"/>
    <w:rsid w:val="00CC64B3"/>
    <w:rsid w:val="00CD424F"/>
    <w:rsid w:val="00D057B7"/>
    <w:rsid w:val="00D1019F"/>
    <w:rsid w:val="00D306B9"/>
    <w:rsid w:val="00D43505"/>
    <w:rsid w:val="00D53E9F"/>
    <w:rsid w:val="00D62ED9"/>
    <w:rsid w:val="00D6612E"/>
    <w:rsid w:val="00D7214E"/>
    <w:rsid w:val="00D7701F"/>
    <w:rsid w:val="00D83D1E"/>
    <w:rsid w:val="00DA52FB"/>
    <w:rsid w:val="00DC135C"/>
    <w:rsid w:val="00DC7DD6"/>
    <w:rsid w:val="00DD1C44"/>
    <w:rsid w:val="00E04F6F"/>
    <w:rsid w:val="00E0727E"/>
    <w:rsid w:val="00E766AE"/>
    <w:rsid w:val="00EC3D23"/>
    <w:rsid w:val="00ED2FCF"/>
    <w:rsid w:val="00F11EAC"/>
    <w:rsid w:val="00F33680"/>
    <w:rsid w:val="00F43A80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2021-01-10T15:22:00Z</dcterms:created>
  <dcterms:modified xsi:type="dcterms:W3CDTF">2021-01-12T01:12:00Z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