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63105B04" w:rsidR="00EE7EEF" w:rsidRPr="00332D7C" w:rsidRDefault="00DF1839" w:rsidP="00FA71F5">
      <w:pPr>
        <w:widowControl w:val="0"/>
        <w:autoSpaceDE w:val="0"/>
        <w:autoSpaceDN w:val="0"/>
        <w:adjustRightInd w:val="0"/>
        <w:spacing w:after="12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3319F4">
        <w:rPr>
          <w:rFonts w:ascii="Source Sans Pro Light" w:hAnsi="Source Sans Pro Light"/>
          <w:b/>
          <w:caps/>
          <w:color w:val="719B49"/>
          <w:sz w:val="26"/>
          <w:szCs w:val="26"/>
        </w:rPr>
        <w:t>How to Access NFPA Codes Referenced in OHS Legislation!</w:t>
      </w:r>
      <w:r w:rsidRPr="009360F9">
        <w:rPr>
          <w:rFonts w:ascii="Source Sans Pro Light" w:hAnsi="Source Sans Pro Light"/>
          <w:b/>
          <w:caps/>
          <w:color w:val="719B49"/>
          <w:sz w:val="26"/>
          <w:szCs w:val="26"/>
        </w:rPr>
        <w:fldChar w:fldCharType="end"/>
      </w:r>
    </w:p>
    <w:p w14:paraId="758F859F" w14:textId="05808837" w:rsidR="00E11572" w:rsidRPr="00E11572" w:rsidRDefault="00E11572" w:rsidP="00E11572">
      <w:pPr>
        <w:spacing w:after="60"/>
        <w:rPr>
          <w:rFonts w:ascii="Source Sans Pro Light" w:hAnsi="Source Sans Pro Light"/>
          <w:b/>
          <w:bCs/>
          <w:sz w:val="22"/>
          <w:szCs w:val="22"/>
        </w:rPr>
      </w:pPr>
      <w:r w:rsidRPr="00E11572">
        <w:rPr>
          <w:rFonts w:ascii="Source Sans Pro Light" w:hAnsi="Source Sans Pro Light" w:cs="Arial"/>
          <w:color w:val="222222"/>
          <w:sz w:val="22"/>
          <w:szCs w:val="22"/>
          <w:shd w:val="clear" w:color="auto" w:fill="FFFFFF"/>
        </w:rPr>
        <w:t>Compliance with </w:t>
      </w:r>
      <w:hyperlink r:id="rId8" w:history="1">
        <w:r w:rsidRPr="00E11572">
          <w:rPr>
            <w:rStyle w:val="Hyperlink"/>
            <w:rFonts w:ascii="Source Sans Pro Light" w:hAnsi="Source Sans Pro Light" w:cs="Arial"/>
            <w:sz w:val="22"/>
            <w:szCs w:val="22"/>
            <w:shd w:val="clear" w:color="auto" w:fill="FFFFFF"/>
          </w:rPr>
          <w:t>National Fire Protection codes</w:t>
        </w:r>
      </w:hyperlink>
      <w:r w:rsidRPr="00E11572">
        <w:rPr>
          <w:rFonts w:ascii="Source Sans Pro Light" w:hAnsi="Source Sans Pro Light" w:cs="Arial"/>
          <w:color w:val="222222"/>
          <w:sz w:val="22"/>
          <w:szCs w:val="22"/>
          <w:shd w:val="clear" w:color="auto" w:fill="FFFFFF"/>
        </w:rPr>
        <w:t xml:space="preserve"> (NFPA) and standards is voluntary.  However, if the Nova Scotia Occupational Safety and Health Act &amp; Regulations make reference to them, then complying with the codes and standards is mandatory.  For example, the Nova Scotia Occupational Health and Safety General Regulations references the fire protection codes in </w:t>
      </w:r>
      <w:r w:rsidRPr="00E11572">
        <w:rPr>
          <w:rFonts w:ascii="Source Sans Pro Light" w:hAnsi="Source Sans Pro Light"/>
          <w:sz w:val="22"/>
          <w:szCs w:val="22"/>
        </w:rPr>
        <w:t xml:space="preserve">Part 4: </w:t>
      </w:r>
      <w:r w:rsidRPr="00E11572">
        <w:rPr>
          <w:rFonts w:ascii="Source Sans Pro Light" w:hAnsi="Source Sans Pro Light" w:cs="Times-Bold"/>
          <w:sz w:val="22"/>
          <w:szCs w:val="22"/>
        </w:rPr>
        <w:t>Ventilation, Lighting, Sanitation and Accommodation, Section 25: Fire Protection &amp; Escape.</w:t>
      </w:r>
    </w:p>
    <w:p w14:paraId="1E06135C" w14:textId="77777777" w:rsidR="00E11572" w:rsidRPr="00E11572" w:rsidRDefault="00E11572" w:rsidP="00E11572">
      <w:pPr>
        <w:spacing w:after="60"/>
        <w:rPr>
          <w:rFonts w:ascii="Source Sans Pro Light" w:hAnsi="Source Sans Pro Light"/>
          <w:b/>
          <w:bCs/>
          <w:color w:val="222222"/>
          <w:sz w:val="22"/>
          <w:szCs w:val="22"/>
          <w:shd w:val="clear" w:color="auto" w:fill="FFFFFF"/>
        </w:rPr>
      </w:pPr>
      <w:r w:rsidRPr="00E11572">
        <w:rPr>
          <w:rFonts w:ascii="Source Sans Pro Light" w:hAnsi="Source Sans Pro Light"/>
          <w:color w:val="222222"/>
          <w:sz w:val="22"/>
          <w:szCs w:val="22"/>
          <w:shd w:val="clear" w:color="auto" w:fill="FFFFFF"/>
        </w:rPr>
        <w:t xml:space="preserve">Almost every building, process, service, design, and installation is affected by NFPA’s more than 275 codes and standards. The codes and standards, are available online for free.  They reflect changing industry needs and evolving technologies, supported by research and development, and practical experience.  They are </w:t>
      </w:r>
      <w:r w:rsidRPr="00E11572">
        <w:rPr>
          <w:rFonts w:ascii="Source Sans Pro Light" w:hAnsi="Source Sans Pro Light" w:cs="Arial"/>
          <w:color w:val="000000"/>
          <w:sz w:val="22"/>
          <w:szCs w:val="22"/>
          <w:shd w:val="clear" w:color="auto" w:fill="FFFFFF"/>
        </w:rPr>
        <w:t>designed to minimize the risk and effects of fire by establishing criteria for building, processing, design, service, and installation around the world.</w:t>
      </w:r>
    </w:p>
    <w:p w14:paraId="6A2167CB" w14:textId="70B9CAC5" w:rsidR="00E11572" w:rsidRPr="00E11572" w:rsidRDefault="00E11572" w:rsidP="00E11572">
      <w:pPr>
        <w:shd w:val="clear" w:color="auto" w:fill="FFFFFF"/>
        <w:spacing w:after="60" w:line="240" w:lineRule="atLeast"/>
        <w:rPr>
          <w:rFonts w:ascii="Source Sans Pro Light" w:hAnsi="Source Sans Pro Light"/>
          <w:b/>
          <w:bCs/>
          <w:color w:val="222222"/>
          <w:sz w:val="22"/>
          <w:szCs w:val="22"/>
          <w:shd w:val="clear" w:color="auto" w:fill="FFFFFF"/>
        </w:rPr>
      </w:pPr>
      <w:r w:rsidRPr="00E11572">
        <w:rPr>
          <w:rFonts w:ascii="Source Sans Pro Light" w:hAnsi="Source Sans Pro Light"/>
          <w:color w:val="222222"/>
          <w:sz w:val="22"/>
          <w:szCs w:val="22"/>
          <w:shd w:val="clear" w:color="auto" w:fill="FFFFFF"/>
        </w:rPr>
        <w:t>One of the National Fire Protection Codes you may be familiar with is NFPA 10.  This is a National Fire Protection Code for portable fire extinguishers which is one of the basic firefighting requirements for buildings and equipment.</w:t>
      </w:r>
    </w:p>
    <w:p w14:paraId="1E97B981" w14:textId="2EF65EB4" w:rsidR="00E11572" w:rsidRPr="00E11572" w:rsidRDefault="00E11572" w:rsidP="00E11572">
      <w:pPr>
        <w:shd w:val="clear" w:color="auto" w:fill="FFFFFF"/>
        <w:spacing w:after="60" w:line="240" w:lineRule="atLeast"/>
        <w:rPr>
          <w:rFonts w:ascii="Source Sans Pro Light" w:hAnsi="Source Sans Pro Light"/>
          <w:b/>
          <w:bCs/>
          <w:color w:val="222222"/>
          <w:sz w:val="22"/>
          <w:szCs w:val="22"/>
          <w:shd w:val="clear" w:color="auto" w:fill="FFFFFF"/>
        </w:rPr>
      </w:pPr>
      <w:r w:rsidRPr="00E11572">
        <w:rPr>
          <w:rFonts w:ascii="Source Sans Pro Light" w:hAnsi="Source Sans Pro Light"/>
          <w:color w:val="222222"/>
          <w:sz w:val="22"/>
          <w:szCs w:val="22"/>
          <w:shd w:val="clear" w:color="auto" w:fill="FFFFFF"/>
        </w:rPr>
        <w:t xml:space="preserve">To view the codes, go the </w:t>
      </w:r>
      <w:hyperlink r:id="rId9" w:history="1">
        <w:r w:rsidRPr="00E11572">
          <w:rPr>
            <w:rStyle w:val="Hyperlink"/>
            <w:rFonts w:ascii="Source Sans Pro Light" w:hAnsi="Source Sans Pro Light"/>
            <w:sz w:val="22"/>
            <w:szCs w:val="22"/>
            <w:shd w:val="clear" w:color="auto" w:fill="FFFFFF"/>
          </w:rPr>
          <w:t>National Fire Protection Association</w:t>
        </w:r>
      </w:hyperlink>
      <w:r w:rsidRPr="00E11572">
        <w:rPr>
          <w:rFonts w:ascii="Source Sans Pro Light" w:hAnsi="Source Sans Pro Light"/>
          <w:color w:val="222222"/>
          <w:sz w:val="22"/>
          <w:szCs w:val="22"/>
          <w:shd w:val="clear" w:color="auto" w:fill="FFFFFF"/>
        </w:rPr>
        <w:t xml:space="preserve"> website.</w:t>
      </w:r>
    </w:p>
    <w:p w14:paraId="0D3426AA" w14:textId="77777777" w:rsidR="00E11572" w:rsidRPr="00E11572" w:rsidRDefault="00E11572" w:rsidP="00E11572">
      <w:pPr>
        <w:shd w:val="clear" w:color="auto" w:fill="FFFFFF"/>
        <w:spacing w:after="60" w:line="240" w:lineRule="atLeast"/>
        <w:rPr>
          <w:rFonts w:ascii="Source Sans Pro Light" w:eastAsia="Times New Roman" w:hAnsi="Source Sans Pro Light" w:cs="Arial"/>
          <w:b/>
          <w:bCs/>
          <w:color w:val="000000"/>
          <w:sz w:val="22"/>
          <w:szCs w:val="22"/>
          <w:lang w:eastAsia="en-CA"/>
        </w:rPr>
      </w:pPr>
      <w:r w:rsidRPr="00E11572">
        <w:rPr>
          <w:rFonts w:ascii="Source Sans Pro Light" w:eastAsia="Times New Roman" w:hAnsi="Source Sans Pro Light" w:cs="Arial"/>
          <w:color w:val="000000"/>
          <w:sz w:val="22"/>
          <w:szCs w:val="22"/>
          <w:lang w:eastAsia="en-CA"/>
        </w:rPr>
        <w:t>To view Codes and Standards for free click on “Codes &amp; Standards” in the red bar toward the top of the page.</w:t>
      </w:r>
    </w:p>
    <w:p w14:paraId="24BBF012" w14:textId="77777777" w:rsidR="00E11572" w:rsidRPr="00E11572" w:rsidRDefault="00E11572" w:rsidP="00E11572">
      <w:pPr>
        <w:shd w:val="clear" w:color="auto" w:fill="FFFFFF"/>
        <w:spacing w:before="120" w:after="120" w:line="240" w:lineRule="atLeast"/>
        <w:jc w:val="center"/>
        <w:rPr>
          <w:rFonts w:ascii="Source Sans Pro Light" w:eastAsia="Times New Roman" w:hAnsi="Source Sans Pro Light" w:cs="Arial"/>
          <w:b/>
          <w:bCs/>
          <w:color w:val="000000"/>
          <w:sz w:val="22"/>
          <w:szCs w:val="22"/>
          <w:lang w:eastAsia="en-CA"/>
        </w:rPr>
      </w:pPr>
      <w:r w:rsidRPr="00E11572">
        <w:rPr>
          <w:rFonts w:ascii="Source Sans Pro Light" w:hAnsi="Source Sans Pro Light"/>
          <w:noProof/>
          <w:sz w:val="22"/>
          <w:szCs w:val="22"/>
        </w:rPr>
        <w:drawing>
          <wp:inline distT="0" distB="0" distL="0" distR="0" wp14:anchorId="2B8C19FA" wp14:editId="4186B9C2">
            <wp:extent cx="5943600" cy="1416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7214" cy="1426498"/>
                    </a:xfrm>
                    <a:prstGeom prst="rect">
                      <a:avLst/>
                    </a:prstGeom>
                    <a:noFill/>
                    <a:ln>
                      <a:noFill/>
                    </a:ln>
                  </pic:spPr>
                </pic:pic>
              </a:graphicData>
            </a:graphic>
          </wp:inline>
        </w:drawing>
      </w:r>
    </w:p>
    <w:p w14:paraId="64B07946" w14:textId="77777777" w:rsidR="00E11572" w:rsidRPr="00E11572" w:rsidRDefault="00E11572" w:rsidP="00E11572">
      <w:pPr>
        <w:shd w:val="clear" w:color="auto" w:fill="FFFFFF"/>
        <w:spacing w:after="60" w:line="240" w:lineRule="atLeast"/>
        <w:rPr>
          <w:rFonts w:ascii="Source Sans Pro Light" w:eastAsia="Times New Roman" w:hAnsi="Source Sans Pro Light" w:cs="Arial"/>
          <w:b/>
          <w:bCs/>
          <w:color w:val="000000"/>
          <w:sz w:val="22"/>
          <w:szCs w:val="22"/>
          <w:lang w:eastAsia="en-CA"/>
        </w:rPr>
      </w:pPr>
      <w:r w:rsidRPr="00E11572">
        <w:rPr>
          <w:rFonts w:ascii="Source Sans Pro Light" w:eastAsia="Times New Roman" w:hAnsi="Source Sans Pro Light" w:cs="Arial"/>
          <w:color w:val="000000"/>
          <w:sz w:val="22"/>
          <w:szCs w:val="22"/>
          <w:lang w:eastAsia="en-CA"/>
        </w:rPr>
        <w:t>Then click “List of Codes &amp; Standards” in blue print when the new window opens up.</w:t>
      </w:r>
    </w:p>
    <w:p w14:paraId="4726AA7E" w14:textId="204B0E09" w:rsidR="00E11572" w:rsidRPr="00E11572" w:rsidRDefault="00E11572" w:rsidP="00E11572">
      <w:pPr>
        <w:shd w:val="clear" w:color="auto" w:fill="FFFFFF"/>
        <w:spacing w:after="60" w:line="240" w:lineRule="atLeast"/>
        <w:rPr>
          <w:rFonts w:ascii="Source Sans Pro Light" w:eastAsia="Times New Roman" w:hAnsi="Source Sans Pro Light" w:cs="Arial"/>
          <w:b/>
          <w:bCs/>
          <w:color w:val="000000"/>
          <w:sz w:val="22"/>
          <w:szCs w:val="22"/>
          <w:lang w:eastAsia="en-CA"/>
        </w:rPr>
      </w:pPr>
      <w:r w:rsidRPr="00E11572">
        <w:rPr>
          <w:rFonts w:ascii="Source Sans Pro Light" w:eastAsia="Times New Roman" w:hAnsi="Source Sans Pro Light" w:cs="Arial"/>
          <w:color w:val="000000"/>
          <w:sz w:val="22"/>
          <w:szCs w:val="22"/>
          <w:lang w:eastAsia="en-CA"/>
        </w:rPr>
        <w:t>A list of all available NFPA codes will show up in a list.  The list is organized by NFPA number starting at 1 and going al</w:t>
      </w:r>
      <w:r>
        <w:rPr>
          <w:rFonts w:ascii="Source Sans Pro Light" w:eastAsia="Times New Roman" w:hAnsi="Source Sans Pro Light" w:cs="Arial"/>
          <w:color w:val="000000"/>
          <w:sz w:val="22"/>
          <w:szCs w:val="22"/>
          <w:lang w:eastAsia="en-CA"/>
        </w:rPr>
        <w:t>l</w:t>
      </w:r>
      <w:r w:rsidRPr="00E11572">
        <w:rPr>
          <w:rFonts w:ascii="Source Sans Pro Light" w:eastAsia="Times New Roman" w:hAnsi="Source Sans Pro Light" w:cs="Arial"/>
          <w:color w:val="000000"/>
          <w:sz w:val="22"/>
          <w:szCs w:val="22"/>
          <w:lang w:eastAsia="en-CA"/>
        </w:rPr>
        <w:t xml:space="preserve"> the way to NFPA 8506.  We are going to take a look at NFPA 10 Portable Fire Extinguishers.  Click on the blue text for NFPA 10.</w:t>
      </w:r>
    </w:p>
    <w:p w14:paraId="35D7406B" w14:textId="6C47A596" w:rsidR="00E11572" w:rsidRPr="00E11572" w:rsidRDefault="00E11572" w:rsidP="00E11572">
      <w:pPr>
        <w:shd w:val="clear" w:color="auto" w:fill="FFFFFF"/>
        <w:spacing w:after="60" w:line="240" w:lineRule="atLeast"/>
        <w:rPr>
          <w:rFonts w:ascii="Source Sans Pro Light" w:eastAsia="Times New Roman" w:hAnsi="Source Sans Pro Light" w:cs="Arial"/>
          <w:b/>
          <w:bCs/>
          <w:color w:val="000000"/>
          <w:sz w:val="22"/>
          <w:szCs w:val="22"/>
          <w:lang w:eastAsia="en-CA"/>
        </w:rPr>
      </w:pPr>
      <w:r w:rsidRPr="00E11572">
        <w:rPr>
          <w:rFonts w:ascii="Source Sans Pro Light" w:eastAsia="Times New Roman" w:hAnsi="Source Sans Pro Light" w:cs="Arial"/>
          <w:color w:val="000000"/>
          <w:sz w:val="22"/>
          <w:szCs w:val="22"/>
          <w:lang w:eastAsia="en-CA"/>
        </w:rPr>
        <w:t>To view the document, click “Free Access” which is to the right of “Subscribe to Access Now” button.</w:t>
      </w:r>
      <w:r>
        <w:rPr>
          <w:rFonts w:ascii="Source Sans Pro Light" w:eastAsia="Times New Roman" w:hAnsi="Source Sans Pro Light" w:cs="Arial"/>
          <w:b/>
          <w:bCs/>
          <w:color w:val="000000"/>
          <w:sz w:val="22"/>
          <w:szCs w:val="22"/>
          <w:lang w:eastAsia="en-CA"/>
        </w:rPr>
        <w:t xml:space="preserve">  </w:t>
      </w:r>
      <w:r w:rsidRPr="00E11572">
        <w:rPr>
          <w:rFonts w:ascii="Source Sans Pro Light" w:eastAsia="Times New Roman" w:hAnsi="Source Sans Pro Light" w:cs="Arial"/>
          <w:color w:val="000000"/>
          <w:sz w:val="22"/>
          <w:szCs w:val="22"/>
          <w:lang w:eastAsia="en-CA"/>
        </w:rPr>
        <w:t xml:space="preserve">Then scroll to “Select the Free Access Edition” </w:t>
      </w:r>
      <w:r>
        <w:rPr>
          <w:rFonts w:ascii="Source Sans Pro Light" w:eastAsia="Times New Roman" w:hAnsi="Source Sans Pro Light" w:cs="Arial"/>
          <w:color w:val="000000"/>
          <w:sz w:val="22"/>
          <w:szCs w:val="22"/>
          <w:lang w:eastAsia="en-CA"/>
        </w:rPr>
        <w:t xml:space="preserve">below </w:t>
      </w:r>
      <w:r w:rsidRPr="00E11572">
        <w:rPr>
          <w:rFonts w:ascii="Source Sans Pro Light" w:eastAsia="Times New Roman" w:hAnsi="Source Sans Pro Light" w:cs="Arial"/>
          <w:color w:val="000000"/>
          <w:sz w:val="22"/>
          <w:szCs w:val="22"/>
          <w:lang w:eastAsia="en-CA"/>
        </w:rPr>
        <w:t>and then click “View.”</w:t>
      </w:r>
      <w:r>
        <w:rPr>
          <w:rFonts w:ascii="Source Sans Pro Light" w:eastAsia="Times New Roman" w:hAnsi="Source Sans Pro Light" w:cs="Arial"/>
          <w:b/>
          <w:bCs/>
          <w:color w:val="000000"/>
          <w:sz w:val="22"/>
          <w:szCs w:val="22"/>
          <w:lang w:eastAsia="en-CA"/>
        </w:rPr>
        <w:t xml:space="preserve">  </w:t>
      </w:r>
      <w:r w:rsidRPr="00E11572">
        <w:rPr>
          <w:rFonts w:ascii="Source Sans Pro Light" w:eastAsia="Times New Roman" w:hAnsi="Source Sans Pro Light" w:cs="Arial"/>
          <w:color w:val="000000"/>
          <w:sz w:val="22"/>
          <w:szCs w:val="22"/>
          <w:lang w:eastAsia="en-CA"/>
        </w:rPr>
        <w:t xml:space="preserve">In the new window, “Create a Profile” to view NFPA </w:t>
      </w:r>
      <w:r w:rsidR="00A31F7F">
        <w:rPr>
          <w:rFonts w:ascii="Source Sans Pro Light" w:eastAsia="Times New Roman" w:hAnsi="Source Sans Pro Light" w:cs="Arial"/>
          <w:color w:val="000000"/>
          <w:sz w:val="22"/>
          <w:szCs w:val="22"/>
          <w:lang w:eastAsia="en-CA"/>
        </w:rPr>
        <w:t>C</w:t>
      </w:r>
      <w:r w:rsidRPr="00E11572">
        <w:rPr>
          <w:rFonts w:ascii="Source Sans Pro Light" w:eastAsia="Times New Roman" w:hAnsi="Source Sans Pro Light" w:cs="Arial"/>
          <w:color w:val="000000"/>
          <w:sz w:val="22"/>
          <w:szCs w:val="22"/>
          <w:lang w:eastAsia="en-CA"/>
        </w:rPr>
        <w:t>ode 10.  It is to the right of the “Sign In” button in very small blue print.</w:t>
      </w:r>
    </w:p>
    <w:p w14:paraId="1DCF0A70" w14:textId="664FF2F2" w:rsidR="00E11572" w:rsidRPr="00E11572" w:rsidRDefault="00E11572" w:rsidP="00E11572">
      <w:pPr>
        <w:shd w:val="clear" w:color="auto" w:fill="FFFFFF"/>
        <w:spacing w:before="120" w:after="120" w:line="240" w:lineRule="atLeast"/>
        <w:rPr>
          <w:rFonts w:ascii="Source Sans Pro Light" w:eastAsia="Times New Roman" w:hAnsi="Source Sans Pro Light" w:cs="Arial"/>
          <w:b/>
          <w:bCs/>
          <w:color w:val="000000"/>
          <w:sz w:val="22"/>
          <w:szCs w:val="22"/>
          <w:lang w:eastAsia="en-CA"/>
        </w:rPr>
      </w:pPr>
      <w:r>
        <w:rPr>
          <w:rFonts w:ascii="Source Sans Pro Light" w:hAnsi="Source Sans Pro Light"/>
          <w:noProof/>
          <w:sz w:val="22"/>
          <w:szCs w:val="22"/>
        </w:rPr>
        <mc:AlternateContent>
          <mc:Choice Requires="wps">
            <w:drawing>
              <wp:anchor distT="0" distB="0" distL="114300" distR="114300" simplePos="0" relativeHeight="251659264" behindDoc="0" locked="0" layoutInCell="1" allowOverlap="1" wp14:anchorId="24282221" wp14:editId="5E69E5CC">
                <wp:simplePos x="0" y="0"/>
                <wp:positionH relativeFrom="column">
                  <wp:posOffset>3884031</wp:posOffset>
                </wp:positionH>
                <wp:positionV relativeFrom="paragraph">
                  <wp:posOffset>1235895</wp:posOffset>
                </wp:positionV>
                <wp:extent cx="291314" cy="318287"/>
                <wp:effectExtent l="38100" t="0" r="33020" b="62865"/>
                <wp:wrapNone/>
                <wp:docPr id="10" name="Straight Arrow Connector 10"/>
                <wp:cNvGraphicFramePr/>
                <a:graphic xmlns:a="http://schemas.openxmlformats.org/drawingml/2006/main">
                  <a:graphicData uri="http://schemas.microsoft.com/office/word/2010/wordprocessingShape">
                    <wps:wsp>
                      <wps:cNvCnPr/>
                      <wps:spPr>
                        <a:xfrm flipH="1">
                          <a:off x="0" y="0"/>
                          <a:ext cx="291314" cy="3182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CAA797" id="_x0000_t32" coordsize="21600,21600" o:spt="32" o:oned="t" path="m,l21600,21600e" filled="f">
                <v:path arrowok="t" fillok="f" o:connecttype="none"/>
                <o:lock v:ext="edit" shapetype="t"/>
              </v:shapetype>
              <v:shape id="Straight Arrow Connector 10" o:spid="_x0000_s1026" type="#_x0000_t32" style="position:absolute;margin-left:305.85pt;margin-top:97.3pt;width:22.95pt;height:25.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Wg3wEAABAEAAAOAAAAZHJzL2Uyb0RvYy54bWysU9tuEzEQfUfiHyy/k70UQYiyqVDK5QFB&#10;1JYPcL121pJvGg/Z5O8Ze7cLAoRUxIvly5wzc86Mt9dnZ9lJQTLBd7xZ1ZwpL0Nv/LHjX+/fv1hz&#10;llD4XtjgVccvKvHr3fNn2zFuVBuGYHsFjEh82oyx4wNi3FRVkoNyIq1CVJ4edQAnkI5wrHoQI7E7&#10;W7V1/aoaA/QRglQp0e3N9Mh3hV9rJfGL1kkhsx2n2rCsUNaHvFa7rdgcQcTByLkM8Q9VOGE8JV2o&#10;bgQK9g3Mb1TOSAgpaFzJ4KqgtZGqaCA1Tf2LmrtBRFW0kDkpLjal/0crP58OwExPvSN7vHDUozsE&#10;YY4DsrcAYWT74D35GIBRCPk1xrQh2N4fYD6leIAs/qzBMW1N/Eh0xQ4SyM7F7cvitjojk3TZvmmu&#10;mpecSXq6atbt+nVmryaaTBch4QcVHMubjqe5rKWeKYU4fUo4AR8BGWx9XlEY+873DC+RhCEY4Y9W&#10;zXlySJXVTPWXHV6smuC3SpMvVOeUpkyk2ltgJ0GzJKRUHtuFiaIzTBtrF2BdLPgrcI7PUFWm9Sng&#10;BVEyB48L2Bkf4E/Z8dzMJesp/tGBSXe24CH0l9LZYg2NXenJ/EXyXP98LvAfH3n3HQAA//8DAFBL&#10;AwQUAAYACAAAACEATzlDL+IAAAALAQAADwAAAGRycy9kb3ducmV2LnhtbEyPwUrDQBCG74LvsIzg&#10;RewmMU3amE2RQkGIHqyFXrfZNQlmZ0N2m27f3vGktxn+j3++KTfBDGzWk+stCogXETCNjVU9tgIO&#10;n7vHFTDnJSo5WNQCrtrBprq9KWWh7AU/9Lz3LaMSdIUU0Hk/Fpy7ptNGuoUdNVL2ZScjPa1Ty9Uk&#10;L1RuBp5EUcaN7JEudHLU20433/uzEfCOSTgsH+o6bI/H13p+2z3hNRbi/i68PAPzOvg/GH71SR0q&#10;cjrZMyrHBgFZHOeEUrBOM2BEZMuchpOAJE1z4FXJ//9Q/QAAAP//AwBQSwECLQAUAAYACAAAACEA&#10;toM4kv4AAADhAQAAEwAAAAAAAAAAAAAAAAAAAAAAW0NvbnRlbnRfVHlwZXNdLnhtbFBLAQItABQA&#10;BgAIAAAAIQA4/SH/1gAAAJQBAAALAAAAAAAAAAAAAAAAAC8BAABfcmVscy8ucmVsc1BLAQItABQA&#10;BgAIAAAAIQAcCFWg3wEAABAEAAAOAAAAAAAAAAAAAAAAAC4CAABkcnMvZTJvRG9jLnhtbFBLAQIt&#10;ABQABgAIAAAAIQBPOUMv4gAAAAsBAAAPAAAAAAAAAAAAAAAAADkEAABkcnMvZG93bnJldi54bWxQ&#10;SwUGAAAAAAQABADzAAAASAUAAAAA&#10;" strokecolor="#bc4542 [3045]">
                <v:stroke endarrow="block"/>
              </v:shape>
            </w:pict>
          </mc:Fallback>
        </mc:AlternateContent>
      </w:r>
      <w:r w:rsidRPr="00E11572">
        <w:rPr>
          <w:rFonts w:ascii="Source Sans Pro Light" w:hAnsi="Source Sans Pro Light"/>
          <w:noProof/>
          <w:sz w:val="22"/>
          <w:szCs w:val="22"/>
        </w:rPr>
        <w:drawing>
          <wp:inline distT="0" distB="0" distL="0" distR="0" wp14:anchorId="6FC06414" wp14:editId="1D057236">
            <wp:extent cx="5939040" cy="172360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2980" cy="1742160"/>
                    </a:xfrm>
                    <a:prstGeom prst="rect">
                      <a:avLst/>
                    </a:prstGeom>
                    <a:noFill/>
                    <a:ln>
                      <a:noFill/>
                    </a:ln>
                  </pic:spPr>
                </pic:pic>
              </a:graphicData>
            </a:graphic>
          </wp:inline>
        </w:drawing>
      </w:r>
    </w:p>
    <w:p w14:paraId="22C6A5B6" w14:textId="54ED00BB" w:rsidR="00836CB7" w:rsidRDefault="00E11572" w:rsidP="00E11572">
      <w:pPr>
        <w:shd w:val="clear" w:color="auto" w:fill="FFFFFF"/>
        <w:spacing w:before="120" w:after="120" w:line="240" w:lineRule="atLeast"/>
        <w:rPr>
          <w:rFonts w:ascii="Source Sans Pro Light" w:hAnsi="Source Sans Pro Light"/>
          <w:sz w:val="20"/>
          <w:szCs w:val="20"/>
        </w:rPr>
      </w:pPr>
      <w:r w:rsidRPr="00E11572">
        <w:rPr>
          <w:rFonts w:ascii="Source Sans Pro Light" w:eastAsia="Times New Roman" w:hAnsi="Source Sans Pro Light" w:cs="Arial"/>
          <w:color w:val="000000"/>
          <w:sz w:val="22"/>
          <w:szCs w:val="22"/>
          <w:lang w:eastAsia="en-CA"/>
        </w:rPr>
        <w:t>Once your profile is created, the standard will be ready to view.  Navigate the standard by using the buttons at the bottom of the document.  After creating a profile, keep the username and password in a safe place as you will use this information to view other NFPA codes</w:t>
      </w:r>
      <w:r w:rsidR="00A31F7F">
        <w:rPr>
          <w:rFonts w:ascii="Source Sans Pro Light" w:eastAsia="Times New Roman" w:hAnsi="Source Sans Pro Light" w:cs="Arial"/>
          <w:color w:val="000000"/>
          <w:sz w:val="22"/>
          <w:szCs w:val="22"/>
          <w:lang w:eastAsia="en-CA"/>
        </w:rPr>
        <w:t>,</w:t>
      </w:r>
      <w:r w:rsidRPr="00E11572">
        <w:rPr>
          <w:rFonts w:ascii="Source Sans Pro Light" w:eastAsia="Times New Roman" w:hAnsi="Source Sans Pro Light" w:cs="Arial"/>
          <w:color w:val="000000"/>
          <w:sz w:val="22"/>
          <w:szCs w:val="22"/>
          <w:lang w:eastAsia="en-CA"/>
        </w:rPr>
        <w:t xml:space="preserve"> perhaps at another time.</w:t>
      </w:r>
      <w:r>
        <w:rPr>
          <w:rFonts w:eastAsia="Times New Roman" w:cs="Arial"/>
          <w:color w:val="000000"/>
          <w:sz w:val="22"/>
          <w:szCs w:val="22"/>
          <w:lang w:eastAsia="en-CA"/>
        </w:rPr>
        <w:t xml:space="preserve"> </w:t>
      </w:r>
    </w:p>
    <w:p w14:paraId="7DC18FFD" w14:textId="77777777" w:rsidR="00836CB7" w:rsidRDefault="00836CB7" w:rsidP="00836CB7">
      <w:pPr>
        <w:rPr>
          <w:rFonts w:ascii="Source Sans Pro Light" w:hAnsi="Source Sans Pro Light"/>
          <w:b/>
          <w:bCs/>
          <w:sz w:val="20"/>
          <w:szCs w:val="20"/>
        </w:rPr>
        <w:sectPr w:rsidR="00836CB7" w:rsidSect="00836CB7">
          <w:type w:val="continuous"/>
          <w:pgSz w:w="12240" w:h="15840"/>
          <w:pgMar w:top="1021" w:right="1134" w:bottom="1021" w:left="1134" w:header="454" w:footer="454" w:gutter="0"/>
          <w:cols w:space="708"/>
          <w:docGrid w:linePitch="360"/>
        </w:sectPr>
      </w:pPr>
    </w:p>
    <w:p w14:paraId="3DBAF0F4" w14:textId="27B153EB" w:rsidR="008B17C2" w:rsidRPr="00207984" w:rsidRDefault="008B17C2" w:rsidP="00FF2153">
      <w:pPr>
        <w:spacing w:after="60"/>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p>
    <w:p w14:paraId="3BD88CAA" w14:textId="43D81F15" w:rsidR="00E97591" w:rsidRPr="002615FB" w:rsidRDefault="00DF1839" w:rsidP="00E11572">
      <w:pPr>
        <w:spacing w:after="120" w:line="240" w:lineRule="atLeast"/>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3319F4">
        <w:rPr>
          <w:rFonts w:ascii="Source Sans Pro Light" w:hAnsi="Source Sans Pro Light"/>
          <w:b/>
          <w:caps/>
          <w:color w:val="719B49"/>
          <w:sz w:val="26"/>
          <w:szCs w:val="26"/>
        </w:rPr>
        <w:t>How to Access NFPA Codes Referenced in OHS Legislation!</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0C127B24" w:rsidR="00F545C0" w:rsidRPr="00947868" w:rsidRDefault="005C3B90" w:rsidP="00947868">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Discuss applicable NFPA codes for farm tasks as well as what may be valuable to implement at home in regards to fire safety.</w:t>
      </w:r>
    </w:p>
    <w:p w14:paraId="2AB3BCE0" w14:textId="38914E55" w:rsidR="00947868" w:rsidRPr="005A3777" w:rsidRDefault="00947868"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Demonstrate how to access the standards </w:t>
      </w:r>
      <w:r w:rsidR="005C3B90">
        <w:rPr>
          <w:rFonts w:ascii="Source Sans Pro Light" w:hAnsi="Source Sans Pro Light"/>
          <w:color w:val="2A3438"/>
          <w:sz w:val="20"/>
          <w:szCs w:val="20"/>
          <w:lang w:val="en-CA"/>
        </w:rPr>
        <w:t>NFPA codes</w:t>
      </w:r>
      <w:r>
        <w:rPr>
          <w:rFonts w:ascii="Source Sans Pro Light" w:hAnsi="Source Sans Pro Light"/>
          <w:color w:val="2A3438"/>
          <w:sz w:val="20"/>
          <w:szCs w:val="20"/>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FB7BD1A"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F3161B">
        <w:rPr>
          <w:rFonts w:ascii="Source Sans Pro Light" w:hAnsi="Source Sans Pro Light"/>
          <w:color w:val="2A3438"/>
          <w:sz w:val="18"/>
          <w:szCs w:val="18"/>
          <w:lang w:val="en-CA"/>
        </w:rPr>
        <w:t>a</w:t>
      </w:r>
      <w:r w:rsidR="00BD4EB2">
        <w:rPr>
          <w:rFonts w:ascii="Source Sans Pro Light" w:hAnsi="Source Sans Pro Light"/>
          <w:color w:val="2A3438"/>
          <w:sz w:val="18"/>
          <w:szCs w:val="18"/>
          <w:lang w:val="en-CA"/>
        </w:rPr>
        <w:t xml:space="preserve">, 4. </w:t>
      </w:r>
      <w:r w:rsidR="008A53E0">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xml:space="preserve">, </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00F2B51D" w:rsidR="00E97591" w:rsidRPr="008A53E0" w:rsidRDefault="00E97591" w:rsidP="008A53E0">
      <w:pPr>
        <w:spacing w:after="12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1.</w:t>
      </w:r>
      <w:r w:rsidRPr="008A53E0">
        <w:rPr>
          <w:rFonts w:ascii="Source Sans Pro Light" w:eastAsia="Times New Roman" w:hAnsi="Source Sans Pro Light"/>
          <w:lang w:val="en-CA"/>
        </w:rPr>
        <w:t xml:space="preserve"> </w:t>
      </w:r>
      <w:r w:rsidR="005C3B90">
        <w:rPr>
          <w:rFonts w:ascii="Source Sans Pro Light" w:hAnsi="Source Sans Pro Light" w:cs="Arial"/>
          <w:color w:val="222222"/>
          <w:sz w:val="22"/>
          <w:szCs w:val="22"/>
          <w:shd w:val="clear" w:color="auto" w:fill="FFFFFF"/>
        </w:rPr>
        <w:t>I</w:t>
      </w:r>
      <w:r w:rsidR="005C3B90" w:rsidRPr="00E11572">
        <w:rPr>
          <w:rFonts w:ascii="Source Sans Pro Light" w:hAnsi="Source Sans Pro Light" w:cs="Arial"/>
          <w:color w:val="222222"/>
          <w:sz w:val="22"/>
          <w:szCs w:val="22"/>
          <w:shd w:val="clear" w:color="auto" w:fill="FFFFFF"/>
        </w:rPr>
        <w:t xml:space="preserve">f the Nova Scotia Occupational Safety and Health Act &amp; Regulations make reference to </w:t>
      </w:r>
      <w:r w:rsidR="005C3B90">
        <w:rPr>
          <w:rFonts w:ascii="Source Sans Pro Light" w:hAnsi="Source Sans Pro Light" w:cs="Arial"/>
          <w:color w:val="222222"/>
          <w:sz w:val="22"/>
          <w:szCs w:val="22"/>
          <w:shd w:val="clear" w:color="auto" w:fill="FFFFFF"/>
        </w:rPr>
        <w:t>NFPA Code</w:t>
      </w:r>
      <w:r w:rsidR="005C3B90" w:rsidRPr="00E11572">
        <w:rPr>
          <w:rFonts w:ascii="Source Sans Pro Light" w:hAnsi="Source Sans Pro Light" w:cs="Arial"/>
          <w:color w:val="222222"/>
          <w:sz w:val="22"/>
          <w:szCs w:val="22"/>
          <w:shd w:val="clear" w:color="auto" w:fill="FFFFFF"/>
        </w:rPr>
        <w:t>, then complying with the codes and standards is mandatory.</w:t>
      </w:r>
      <w:r w:rsidR="005C3B90">
        <w:rPr>
          <w:rFonts w:ascii="Source Sans Pro Light" w:hAnsi="Source Sans Pro Light" w:cs="Arial"/>
          <w:color w:val="222222"/>
          <w:sz w:val="22"/>
          <w:szCs w:val="22"/>
          <w:shd w:val="clear" w:color="auto" w:fill="FFFFFF"/>
        </w:rPr>
        <w:t xml:space="preserve">  </w:t>
      </w:r>
      <w:r w:rsidRPr="00FA71F5">
        <w:rPr>
          <w:rFonts w:ascii="Source Sans Pro Light" w:eastAsia="Times New Roman" w:hAnsi="Source Sans Pro Light"/>
          <w:sz w:val="22"/>
          <w:szCs w:val="22"/>
          <w:lang w:val="en-CA"/>
        </w:rPr>
        <w:t xml:space="preserve"> </w:t>
      </w:r>
      <w:r w:rsidR="002615FB" w:rsidRPr="00FA71F5">
        <w:rPr>
          <w:rFonts w:ascii="Source Sans Pro Light" w:eastAsia="Times New Roman" w:hAnsi="Source Sans Pro Light"/>
          <w:sz w:val="22"/>
          <w:szCs w:val="22"/>
          <w:lang w:val="en-CA"/>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8A53E0">
        <w:rPr>
          <w:rFonts w:ascii="Source Sans Pro Light" w:eastAsia="Times New Roman" w:hAnsi="Source Sans Pro Light"/>
          <w:sz w:val="22"/>
          <w:szCs w:val="22"/>
          <w:lang w:val="en-CA"/>
        </w:rPr>
        <w:t> </w:t>
      </w:r>
    </w:p>
    <w:p w14:paraId="1DD70277" w14:textId="5F1F3363" w:rsidR="00E97591" w:rsidRPr="00FA71F5" w:rsidRDefault="00E97591" w:rsidP="00331891">
      <w:pPr>
        <w:spacing w:after="120"/>
        <w:rPr>
          <w:rFonts w:ascii="Source Sans Pro Light" w:hAnsi="Source Sans Pro Light"/>
          <w:b/>
          <w:bCs/>
          <w:sz w:val="22"/>
          <w:szCs w:val="22"/>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F3161B">
        <w:rPr>
          <w:rFonts w:ascii="Source Sans Pro Light" w:hAnsi="Source Sans Pro Light"/>
          <w:color w:val="222222"/>
          <w:sz w:val="22"/>
          <w:szCs w:val="22"/>
          <w:shd w:val="clear" w:color="auto" w:fill="FFFFFF"/>
        </w:rPr>
        <w:t>NFPA Codes</w:t>
      </w:r>
      <w:r w:rsidR="00F3161B" w:rsidRPr="00E11572">
        <w:rPr>
          <w:rFonts w:ascii="Source Sans Pro Light" w:hAnsi="Source Sans Pro Light"/>
          <w:color w:val="222222"/>
          <w:sz w:val="22"/>
          <w:szCs w:val="22"/>
          <w:shd w:val="clear" w:color="auto" w:fill="FFFFFF"/>
        </w:rPr>
        <w:t xml:space="preserve"> are </w:t>
      </w:r>
      <w:r w:rsidR="00F3161B" w:rsidRPr="00E11572">
        <w:rPr>
          <w:rFonts w:ascii="Source Sans Pro Light" w:hAnsi="Source Sans Pro Light" w:cs="Arial"/>
          <w:color w:val="000000"/>
          <w:sz w:val="22"/>
          <w:szCs w:val="22"/>
          <w:shd w:val="clear" w:color="auto" w:fill="FFFFFF"/>
        </w:rPr>
        <w:t>designed to minimize the risk and effects of fire by establishing criteria for building, processing, design, service, and installation around the world.</w:t>
      </w:r>
      <w:r w:rsidR="007830B8" w:rsidRPr="00FA71F5">
        <w:rPr>
          <w:rFonts w:ascii="Source Sans Pro Light" w:hAnsi="Source Sans Pro Light"/>
          <w:b/>
          <w:bCs/>
          <w:sz w:val="22"/>
          <w:szCs w:val="22"/>
        </w:rPr>
        <w:t xml:space="preserve">  </w:t>
      </w:r>
      <w:r w:rsidR="00947868">
        <w:rPr>
          <w:rFonts w:ascii="Source Sans Pro Light" w:hAnsi="Source Sans Pro Light"/>
          <w:b/>
          <w:bCs/>
          <w:sz w:val="22"/>
          <w:szCs w:val="22"/>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FA71F5">
        <w:rPr>
          <w:rFonts w:ascii="Source Sans Pro Light" w:eastAsia="Times New Roman" w:hAnsi="Source Sans Pro Light"/>
          <w:sz w:val="22"/>
          <w:szCs w:val="22"/>
          <w:lang w:val="en-CA"/>
        </w:rPr>
        <w:t> </w:t>
      </w:r>
    </w:p>
    <w:p w14:paraId="5C8651D7" w14:textId="075D851B" w:rsidR="00E97591" w:rsidRPr="008A53E0" w:rsidRDefault="00E97591" w:rsidP="00B027DF">
      <w:pPr>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 xml:space="preserve">3. </w:t>
      </w:r>
      <w:r w:rsidR="00F3161B">
        <w:rPr>
          <w:rFonts w:ascii="Source Sans Pro Light" w:hAnsi="Source Sans Pro Light"/>
          <w:sz w:val="22"/>
          <w:szCs w:val="22"/>
        </w:rPr>
        <w:t xml:space="preserve">The National Fire Protection Code for Portable fire Extinguishers is: </w:t>
      </w:r>
      <w:r w:rsidR="00FA71F5">
        <w:rPr>
          <w:rFonts w:ascii="Source Sans Pro Light" w:hAnsi="Source Sans Pro Light"/>
          <w:sz w:val="22"/>
          <w:szCs w:val="22"/>
        </w:rPr>
        <w:t xml:space="preserve"> </w:t>
      </w:r>
      <w:r w:rsidRPr="008A53E0">
        <w:rPr>
          <w:rFonts w:ascii="Source Sans Pro Light" w:eastAsia="Times New Roman" w:hAnsi="Source Sans Pro Light"/>
          <w:sz w:val="22"/>
          <w:szCs w:val="22"/>
          <w:lang w:val="en-CA"/>
        </w:rPr>
        <w:t> </w:t>
      </w:r>
    </w:p>
    <w:p w14:paraId="3DEBEB4C" w14:textId="1E2FA507" w:rsidR="008A53E0" w:rsidRPr="008A53E0" w:rsidRDefault="00F3161B"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10</w:t>
      </w:r>
    </w:p>
    <w:p w14:paraId="30C45A83" w14:textId="6EFB3AB0" w:rsidR="008A53E0" w:rsidRPr="008A53E0" w:rsidRDefault="00F3161B" w:rsidP="008A53E0">
      <w:pPr>
        <w:pStyle w:val="ListParagraph"/>
        <w:numPr>
          <w:ilvl w:val="0"/>
          <w:numId w:val="29"/>
        </w:numPr>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30</w:t>
      </w:r>
    </w:p>
    <w:p w14:paraId="032974C3" w14:textId="65D85FC9" w:rsidR="008A53E0" w:rsidRPr="008A53E0" w:rsidRDefault="00F3161B"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101</w:t>
      </w:r>
    </w:p>
    <w:p w14:paraId="4B6A91AB" w14:textId="64BB0CAA" w:rsidR="008A53E0" w:rsidRPr="008A53E0" w:rsidRDefault="00F3161B"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70E</w:t>
      </w:r>
    </w:p>
    <w:p w14:paraId="12D18828" w14:textId="72F610A4" w:rsidR="00E97591" w:rsidRPr="008A53E0"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All of the Above</w:t>
      </w:r>
    </w:p>
    <w:p w14:paraId="0B612D6B" w14:textId="21814F72" w:rsidR="00E97591" w:rsidRPr="00331891" w:rsidRDefault="00E97591" w:rsidP="00331891">
      <w:pPr>
        <w:rPr>
          <w:b/>
          <w:bCs/>
          <w:sz w:val="22"/>
          <w:szCs w:val="22"/>
        </w:rPr>
      </w:pPr>
      <w:r w:rsidRPr="008A53E0">
        <w:rPr>
          <w:rFonts w:ascii="Source Sans Pro Light" w:eastAsia="Times New Roman" w:hAnsi="Source Sans Pro Light"/>
          <w:sz w:val="22"/>
          <w:szCs w:val="22"/>
          <w:lang w:val="en-CA"/>
        </w:rPr>
        <w:t>4.</w:t>
      </w:r>
      <w:r w:rsidR="00332D7C" w:rsidRPr="008A53E0">
        <w:rPr>
          <w:rFonts w:ascii="Source Sans Pro Light" w:eastAsia="Times New Roman" w:hAnsi="Source Sans Pro Light"/>
          <w:sz w:val="22"/>
          <w:szCs w:val="22"/>
        </w:rPr>
        <w:t xml:space="preserve"> </w:t>
      </w:r>
      <w:r w:rsidR="00557422" w:rsidRPr="00E11572">
        <w:rPr>
          <w:rFonts w:ascii="Source Sans Pro Light" w:hAnsi="Source Sans Pro Light"/>
          <w:color w:val="222222"/>
          <w:sz w:val="22"/>
          <w:szCs w:val="22"/>
          <w:shd w:val="clear" w:color="auto" w:fill="FFFFFF"/>
        </w:rPr>
        <w:t xml:space="preserve">Almost every building, process, service, design, and installation is affected by NFPA’s more than </w:t>
      </w:r>
      <w:r w:rsidR="00557422">
        <w:rPr>
          <w:rFonts w:ascii="Source Sans Pro Light" w:hAnsi="Source Sans Pro Light"/>
          <w:color w:val="222222"/>
          <w:sz w:val="22"/>
          <w:szCs w:val="22"/>
          <w:shd w:val="clear" w:color="auto" w:fill="FFFFFF"/>
        </w:rPr>
        <w:t>_______</w:t>
      </w:r>
      <w:r w:rsidR="00557422" w:rsidRPr="00E11572">
        <w:rPr>
          <w:rFonts w:ascii="Source Sans Pro Light" w:hAnsi="Source Sans Pro Light"/>
          <w:color w:val="222222"/>
          <w:sz w:val="22"/>
          <w:szCs w:val="22"/>
          <w:shd w:val="clear" w:color="auto" w:fill="FFFFFF"/>
        </w:rPr>
        <w:t xml:space="preserve"> codes and standards</w:t>
      </w:r>
      <w:r w:rsidR="00557422">
        <w:rPr>
          <w:rFonts w:ascii="Source Sans Pro Light" w:hAnsi="Source Sans Pro Light"/>
          <w:color w:val="222222"/>
          <w:sz w:val="22"/>
          <w:szCs w:val="22"/>
          <w:shd w:val="clear" w:color="auto" w:fill="FFFFFF"/>
        </w:rPr>
        <w:t>.</w:t>
      </w:r>
    </w:p>
    <w:p w14:paraId="2A180EE8" w14:textId="79647D2C" w:rsidR="00E97591" w:rsidRPr="008A53E0" w:rsidRDefault="00557422"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775</w:t>
      </w:r>
    </w:p>
    <w:p w14:paraId="7800941F" w14:textId="4EC5F8C9" w:rsidR="00E97591" w:rsidRPr="008A53E0" w:rsidRDefault="00557422"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275</w:t>
      </w:r>
    </w:p>
    <w:p w14:paraId="493F7228" w14:textId="46AFCDAF" w:rsidR="00E97591" w:rsidRPr="008A53E0" w:rsidRDefault="00557422" w:rsidP="00E97591">
      <w:pPr>
        <w:pStyle w:val="ListParagraph"/>
        <w:numPr>
          <w:ilvl w:val="0"/>
          <w:numId w:val="30"/>
        </w:numPr>
        <w:spacing w:after="120"/>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375</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31F7F">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402E752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1FEDDDB"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991F9F2"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06A451A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4102146"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9D97682"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0268599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3EA55A9"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E51521"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Times-Bold">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8034427"/>
    <w:multiLevelType w:val="multilevel"/>
    <w:tmpl w:val="8BF23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754FB"/>
    <w:multiLevelType w:val="hybridMultilevel"/>
    <w:tmpl w:val="CE7E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4D1BF8"/>
    <w:multiLevelType w:val="hybridMultilevel"/>
    <w:tmpl w:val="D8168706"/>
    <w:lvl w:ilvl="0" w:tplc="6D40AE1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C204B"/>
    <w:multiLevelType w:val="multilevel"/>
    <w:tmpl w:val="3A30C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EC057A"/>
    <w:multiLevelType w:val="hybridMultilevel"/>
    <w:tmpl w:val="F6325E5C"/>
    <w:lvl w:ilvl="0" w:tplc="5680F47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2"/>
  </w:num>
  <w:num w:numId="4">
    <w:abstractNumId w:val="16"/>
  </w:num>
  <w:num w:numId="5">
    <w:abstractNumId w:val="28"/>
  </w:num>
  <w:num w:numId="6">
    <w:abstractNumId w:val="26"/>
  </w:num>
  <w:num w:numId="7">
    <w:abstractNumId w:val="2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4"/>
  </w:num>
  <w:num w:numId="24">
    <w:abstractNumId w:val="14"/>
  </w:num>
  <w:num w:numId="25">
    <w:abstractNumId w:val="17"/>
  </w:num>
  <w:num w:numId="26">
    <w:abstractNumId w:val="33"/>
  </w:num>
  <w:num w:numId="27">
    <w:abstractNumId w:val="27"/>
  </w:num>
  <w:num w:numId="28">
    <w:abstractNumId w:val="36"/>
  </w:num>
  <w:num w:numId="29">
    <w:abstractNumId w:val="23"/>
  </w:num>
  <w:num w:numId="30">
    <w:abstractNumId w:val="35"/>
  </w:num>
  <w:num w:numId="31">
    <w:abstractNumId w:val="31"/>
  </w:num>
  <w:num w:numId="32">
    <w:abstractNumId w:val="30"/>
  </w:num>
  <w:num w:numId="33">
    <w:abstractNumId w:val="20"/>
  </w:num>
  <w:num w:numId="34">
    <w:abstractNumId w:val="34"/>
  </w:num>
  <w:num w:numId="35">
    <w:abstractNumId w:val="29"/>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3988"/>
    <w:rsid w:val="00171569"/>
    <w:rsid w:val="00180DFE"/>
    <w:rsid w:val="001A6AAB"/>
    <w:rsid w:val="001B774D"/>
    <w:rsid w:val="001E0DD0"/>
    <w:rsid w:val="001E6135"/>
    <w:rsid w:val="00207984"/>
    <w:rsid w:val="00223D47"/>
    <w:rsid w:val="00224F16"/>
    <w:rsid w:val="00230DF2"/>
    <w:rsid w:val="00243D04"/>
    <w:rsid w:val="002615FB"/>
    <w:rsid w:val="002709D1"/>
    <w:rsid w:val="00280323"/>
    <w:rsid w:val="00293327"/>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7F51B3"/>
    <w:rsid w:val="00822172"/>
    <w:rsid w:val="008317E1"/>
    <w:rsid w:val="00836CB7"/>
    <w:rsid w:val="00845500"/>
    <w:rsid w:val="0087295D"/>
    <w:rsid w:val="008A53E0"/>
    <w:rsid w:val="008B17C2"/>
    <w:rsid w:val="008B5B3C"/>
    <w:rsid w:val="008C6878"/>
    <w:rsid w:val="008D0DA7"/>
    <w:rsid w:val="008D5FB3"/>
    <w:rsid w:val="008F4C7B"/>
    <w:rsid w:val="009332DA"/>
    <w:rsid w:val="009360F9"/>
    <w:rsid w:val="00947868"/>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1F7F"/>
    <w:rsid w:val="00A34409"/>
    <w:rsid w:val="00A350DF"/>
    <w:rsid w:val="00A62CCB"/>
    <w:rsid w:val="00A83304"/>
    <w:rsid w:val="00A837DB"/>
    <w:rsid w:val="00A91269"/>
    <w:rsid w:val="00A93201"/>
    <w:rsid w:val="00AB050D"/>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03CAB"/>
    <w:rsid w:val="00E11572"/>
    <w:rsid w:val="00E1551C"/>
    <w:rsid w:val="00E17FB8"/>
    <w:rsid w:val="00E42CBE"/>
    <w:rsid w:val="00E478EA"/>
    <w:rsid w:val="00E47B4D"/>
    <w:rsid w:val="00E91AA4"/>
    <w:rsid w:val="00E97591"/>
    <w:rsid w:val="00EE7EEF"/>
    <w:rsid w:val="00F000E5"/>
    <w:rsid w:val="00F10550"/>
    <w:rsid w:val="00F13747"/>
    <w:rsid w:val="00F14553"/>
    <w:rsid w:val="00F3161B"/>
    <w:rsid w:val="00F53FD6"/>
    <w:rsid w:val="00F545C0"/>
    <w:rsid w:val="00F65C80"/>
    <w:rsid w:val="00F823E5"/>
    <w:rsid w:val="00F82EF8"/>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fpa.org/Codes-and-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f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2020-09-23T14:56:00Z</dcterms:created>
  <dcterms:modified xsi:type="dcterms:W3CDTF">2020-09-24T14:40:00Z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How to Access NFPA Codes Referenced in OHS Legislation!</vt:lpwstr>
  </property>
  <property fmtid="{D5CDD505-2E9C-101B-9397-08002B2CF9AE}" pid="3" name="Farm Name">
    <vt:lpwstr>[ FARM NAME }</vt:lpwstr>
  </property>
</Properties>
</file>