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4C04" w:rsidRPr="009E6A51" w14:paraId="243CB4B8" w14:textId="77777777" w:rsidTr="00CF077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53B067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04A3518A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87BC0D3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A12025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565AD57A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75BC7F56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5B6DF429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0562ADAD" w14:textId="77777777" w:rsidR="00875EA5" w:rsidRPr="009E6A51" w:rsidRDefault="00875EA5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07C855FD" w14:textId="3F2364EF" w:rsidR="0085462E" w:rsidRPr="009E6A51" w:rsidRDefault="0085462E" w:rsidP="00FF42F5">
      <w:pPr>
        <w:rPr>
          <w:rFonts w:ascii="Source Sans Pro Light" w:hAnsi="Source Sans Pro Light"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85462E" w:rsidRPr="009E6A51" w14:paraId="2866CECB" w14:textId="3EA99A23" w:rsidTr="0085462E">
        <w:tc>
          <w:tcPr>
            <w:tcW w:w="3397" w:type="dxa"/>
          </w:tcPr>
          <w:p w14:paraId="51AB0189" w14:textId="356268C9" w:rsidR="0085462E" w:rsidRPr="009E6A51" w:rsidRDefault="0085462E" w:rsidP="00580B51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5953" w:type="dxa"/>
          </w:tcPr>
          <w:p w14:paraId="0B8B0D7B" w14:textId="77777777" w:rsidR="0085462E" w:rsidRPr="009E6A51" w:rsidRDefault="0085462E" w:rsidP="00580B51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85462E" w:rsidRPr="009E6A51" w14:paraId="4C1C67C3" w14:textId="0BCD9849" w:rsidTr="0085462E">
        <w:tc>
          <w:tcPr>
            <w:tcW w:w="3397" w:type="dxa"/>
          </w:tcPr>
          <w:p w14:paraId="18108073" w14:textId="680DCBD4" w:rsidR="0085462E" w:rsidRPr="009E6A51" w:rsidRDefault="0085462E" w:rsidP="00580B51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When to use this </w:t>
            </w:r>
            <w:r w:rsidR="00434A49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S</w:t>
            </w:r>
            <w:bookmarkStart w:id="0" w:name="_GoBack"/>
            <w:bookmarkEnd w:id="0"/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WP</w:t>
            </w:r>
            <w:r w:rsidRPr="009E6A51">
              <w:rPr>
                <w:rFonts w:ascii="Source Sans Pro Semibold" w:hAnsi="Source Sans Pro Semi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1DDBD1FB" w14:textId="77777777" w:rsidR="0085462E" w:rsidRPr="009E6A51" w:rsidRDefault="0085462E" w:rsidP="00580B5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This safe work practice should be followed when using a side-by-side ATV on or around the farm.</w:t>
            </w:r>
          </w:p>
          <w:p w14:paraId="6957DE17" w14:textId="6ADF9173" w:rsidR="0085462E" w:rsidRPr="009E6A51" w:rsidRDefault="0085462E" w:rsidP="00580B51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85462E" w:rsidRPr="009E6A51" w14:paraId="3CF4F65A" w14:textId="09099F5B" w:rsidTr="0085462E">
        <w:tc>
          <w:tcPr>
            <w:tcW w:w="3397" w:type="dxa"/>
          </w:tcPr>
          <w:p w14:paraId="7AE4F76C" w14:textId="77777777" w:rsidR="0085462E" w:rsidRPr="009E6A51" w:rsidRDefault="0085462E" w:rsidP="00580B51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Hazards &amp; Risks:</w:t>
            </w:r>
          </w:p>
        </w:tc>
        <w:tc>
          <w:tcPr>
            <w:tcW w:w="5953" w:type="dxa"/>
          </w:tcPr>
          <w:p w14:paraId="69C693EC" w14:textId="77777777" w:rsidR="0085462E" w:rsidRPr="009E6A51" w:rsidRDefault="0085462E" w:rsidP="0085462E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Runover </w:t>
            </w:r>
          </w:p>
          <w:p w14:paraId="1E53CC84" w14:textId="77777777" w:rsidR="0085462E" w:rsidRPr="009E6A51" w:rsidRDefault="0085462E" w:rsidP="0085462E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Rollover</w:t>
            </w:r>
          </w:p>
          <w:p w14:paraId="513308AD" w14:textId="15133E90" w:rsidR="0085462E" w:rsidRPr="009E6A51" w:rsidRDefault="0085462E" w:rsidP="0085462E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85462E" w:rsidRPr="009E6A51" w14:paraId="32A8884E" w14:textId="04BE70D2" w:rsidTr="0085462E">
        <w:tc>
          <w:tcPr>
            <w:tcW w:w="3397" w:type="dxa"/>
          </w:tcPr>
          <w:p w14:paraId="2B45DFD4" w14:textId="77777777" w:rsidR="0085462E" w:rsidRPr="009E6A51" w:rsidRDefault="0085462E" w:rsidP="00580B51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Personal Protective Equipment:</w:t>
            </w:r>
          </w:p>
        </w:tc>
        <w:tc>
          <w:tcPr>
            <w:tcW w:w="5953" w:type="dxa"/>
          </w:tcPr>
          <w:p w14:paraId="397C6163" w14:textId="5085B4B4" w:rsidR="0085462E" w:rsidRPr="009E6A51" w:rsidRDefault="00C75C75" w:rsidP="00580B5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W</w:t>
            </w:r>
            <w:r w:rsidR="0085462E" w:rsidRPr="009E6A51">
              <w:rPr>
                <w:rFonts w:ascii="Source Sans Pro Light" w:hAnsi="Source Sans Pro Light"/>
                <w:sz w:val="22"/>
                <w:szCs w:val="22"/>
              </w:rPr>
              <w:t xml:space="preserve">ear PPE appropriate to the task at hand. </w:t>
            </w:r>
          </w:p>
          <w:p w14:paraId="2D983A56" w14:textId="3A027BEB" w:rsidR="0085462E" w:rsidRPr="009E6A51" w:rsidRDefault="0085462E" w:rsidP="008A05DA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Hearing protection</w:t>
            </w:r>
          </w:p>
          <w:p w14:paraId="18FADCF7" w14:textId="660C731A" w:rsidR="0085462E" w:rsidRPr="009E6A51" w:rsidRDefault="008A05DA" w:rsidP="00C75C75">
            <w:pPr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Other personal protective equipment required will depend on the task for which the vehicle is being used (e.g. spraying, baling). Consult with the</w:t>
            </w:r>
            <w:r w:rsidR="00C75C75" w:rsidRPr="009E6A51">
              <w:rPr>
                <w:rFonts w:ascii="Source Sans Pro Light" w:hAnsi="Source Sans Pro Light"/>
                <w:sz w:val="22"/>
                <w:szCs w:val="22"/>
              </w:rPr>
              <w:t xml:space="preserve"> hazard assessment and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SWP for the task at hand to ensure appropriate PPE is used. </w:t>
            </w:r>
          </w:p>
        </w:tc>
      </w:tr>
      <w:tr w:rsidR="0085462E" w:rsidRPr="009E6A51" w14:paraId="690E3E18" w14:textId="4DF1569F" w:rsidTr="0085462E">
        <w:tc>
          <w:tcPr>
            <w:tcW w:w="3397" w:type="dxa"/>
          </w:tcPr>
          <w:p w14:paraId="1056B298" w14:textId="77777777" w:rsidR="0085462E" w:rsidRPr="009E6A51" w:rsidRDefault="0085462E" w:rsidP="00580B51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Training Requirements:</w:t>
            </w:r>
          </w:p>
        </w:tc>
        <w:tc>
          <w:tcPr>
            <w:tcW w:w="5953" w:type="dxa"/>
          </w:tcPr>
          <w:p w14:paraId="5C56D34B" w14:textId="77777777" w:rsidR="0085462E" w:rsidRPr="009E6A51" w:rsidRDefault="0085462E" w:rsidP="0085462E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Operator’s must have a Class 8 or higher Driver’s License </w:t>
            </w:r>
          </w:p>
          <w:p w14:paraId="381D4957" w14:textId="77777777" w:rsidR="0085462E" w:rsidRPr="009E6A51" w:rsidRDefault="0085462E" w:rsidP="0085462E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On-site training by competent individual</w:t>
            </w:r>
          </w:p>
          <w:p w14:paraId="3E94FA5D" w14:textId="4402BD19" w:rsidR="0085462E" w:rsidRPr="009E6A51" w:rsidRDefault="0085462E" w:rsidP="0085462E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85462E" w:rsidRPr="009E6A51" w14:paraId="7012BFB9" w14:textId="07BDE54A" w:rsidTr="0085462E">
        <w:tc>
          <w:tcPr>
            <w:tcW w:w="3397" w:type="dxa"/>
          </w:tcPr>
          <w:p w14:paraId="1630FAD0" w14:textId="77777777" w:rsidR="0085462E" w:rsidRPr="009E6A51" w:rsidRDefault="0085462E" w:rsidP="00580B51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Communication Process:</w:t>
            </w:r>
          </w:p>
        </w:tc>
        <w:tc>
          <w:tcPr>
            <w:tcW w:w="5953" w:type="dxa"/>
          </w:tcPr>
          <w:p w14:paraId="6EC77E58" w14:textId="77777777" w:rsidR="0085462E" w:rsidRPr="009E6A51" w:rsidRDefault="0085462E" w:rsidP="00580B5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When using the side-by-side off the main farm area it is important to have a method of communication (e.g. cell phone).  Be sure to follow the Working Alone Policy when operating the vehicle alone. For questions regarding work, repairs or maintenance contact your supervisor.</w:t>
            </w:r>
          </w:p>
          <w:p w14:paraId="1B11ED93" w14:textId="56935F9A" w:rsidR="0085462E" w:rsidRPr="009E6A51" w:rsidRDefault="0085462E" w:rsidP="00580B51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85462E" w:rsidRPr="009E6A51" w14:paraId="08D53F3D" w14:textId="4CA12264" w:rsidTr="0085462E">
        <w:tc>
          <w:tcPr>
            <w:tcW w:w="3397" w:type="dxa"/>
          </w:tcPr>
          <w:p w14:paraId="2C5D0D55" w14:textId="77777777" w:rsidR="0085462E" w:rsidRPr="009E6A51" w:rsidRDefault="0085462E" w:rsidP="00580B51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Equipment &amp; Supplies:</w:t>
            </w:r>
          </w:p>
        </w:tc>
        <w:tc>
          <w:tcPr>
            <w:tcW w:w="5953" w:type="dxa"/>
          </w:tcPr>
          <w:p w14:paraId="19705DFA" w14:textId="46346936" w:rsidR="0085462E" w:rsidRPr="009E6A51" w:rsidRDefault="0085462E" w:rsidP="0085462E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2393BE8C" w14:textId="63B50D2A" w:rsidR="00783E21" w:rsidRPr="009E6A51" w:rsidRDefault="00783E21" w:rsidP="00783E21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5CB137F5" w14:textId="7D490287" w:rsidR="0085462E" w:rsidRPr="009E6A51" w:rsidRDefault="008B36A6" w:rsidP="008B36A6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85462E" w:rsidRPr="009E6A51" w14:paraId="6E6BFA5C" w14:textId="77777777" w:rsidTr="006110AA">
        <w:tc>
          <w:tcPr>
            <w:tcW w:w="9350" w:type="dxa"/>
            <w:gridSpan w:val="2"/>
          </w:tcPr>
          <w:p w14:paraId="45324B20" w14:textId="77777777" w:rsidR="0085462E" w:rsidRPr="009E6A51" w:rsidRDefault="0085462E" w:rsidP="0085462E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Practice:</w:t>
            </w:r>
          </w:p>
          <w:p w14:paraId="3578D93A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Read and follow the owner’s manual.</w:t>
            </w:r>
          </w:p>
          <w:p w14:paraId="78324E4C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Only trained competent individuals can operate the equipment.</w:t>
            </w:r>
          </w:p>
          <w:p w14:paraId="3CF2BDB5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This vehicle cannot be used on highways or public roads.  </w:t>
            </w:r>
          </w:p>
          <w:p w14:paraId="4764AB96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Avoid operating a side-by-side on pavement. The vehicle is not designed to be used on paved surfaces and may be difficult to control. </w:t>
            </w:r>
          </w:p>
          <w:p w14:paraId="7C17635E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Maximum of one person per seat. Operator and passengers must both wear seatbelts.</w:t>
            </w:r>
          </w:p>
          <w:p w14:paraId="284C1119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Passengers must be able to reach the handhold while sitting with their backs against the seat and their feet flat on the floorboards.</w:t>
            </w:r>
          </w:p>
          <w:p w14:paraId="0938C0FB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No riders in the box.</w:t>
            </w:r>
          </w:p>
          <w:p w14:paraId="615008F1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Before driving, ensure foot platform is free of debris.</w:t>
            </w:r>
          </w:p>
          <w:p w14:paraId="5673E263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Perform a pre-operational check to ensure all safety guarding is in place, according to manufacturer’s specifications.</w:t>
            </w:r>
          </w:p>
          <w:p w14:paraId="36C0CBD4" w14:textId="66A2E960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Make sure vehicle is in neutral</w:t>
            </w:r>
            <w:r w:rsidR="00783E21" w:rsidRPr="009E6A51">
              <w:rPr>
                <w:rFonts w:ascii="Source Sans Pro Light" w:hAnsi="Source Sans Pro Light"/>
                <w:sz w:val="22"/>
                <w:szCs w:val="22"/>
              </w:rPr>
              <w:t xml:space="preserve"> or park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and parking brake is set, prior to starting the vehicle.  </w:t>
            </w:r>
          </w:p>
          <w:p w14:paraId="1D585205" w14:textId="0B310A70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lastRenderedPageBreak/>
              <w:t>Never drive the vehicle over 40 km/hour.</w:t>
            </w:r>
          </w:p>
          <w:p w14:paraId="604F40AA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Drive slowly when turning.</w:t>
            </w:r>
          </w:p>
          <w:p w14:paraId="5B709219" w14:textId="4A7B52C3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Apply brak</w:t>
            </w:r>
            <w:r w:rsidR="00783E21" w:rsidRPr="009E6A51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>s when going down slopes so that the vehicle does not freewheel down.</w:t>
            </w:r>
          </w:p>
          <w:p w14:paraId="08A1A8D8" w14:textId="2A3CDDFB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Only load the side-by-side to its maximum capacity</w:t>
            </w:r>
            <w:r w:rsidR="00783E21" w:rsidRPr="009E6A51">
              <w:rPr>
                <w:rFonts w:ascii="Source Sans Pro Light" w:hAnsi="Source Sans Pro Light"/>
                <w:sz w:val="22"/>
                <w:szCs w:val="22"/>
              </w:rPr>
              <w:t>. Secure load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before moving.</w:t>
            </w:r>
          </w:p>
          <w:p w14:paraId="3CD71F31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Reduce speed on rough or sloped terrain. </w:t>
            </w:r>
          </w:p>
          <w:p w14:paraId="23D46189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Never get off vehicle when it is in motion.</w:t>
            </w:r>
          </w:p>
          <w:p w14:paraId="25AE8A3B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Vehicle should not be left running unattended.</w:t>
            </w:r>
          </w:p>
          <w:p w14:paraId="33F9BB85" w14:textId="7C1CB980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When parking vehicle</w:t>
            </w:r>
            <w:r w:rsidR="00783E21" w:rsidRPr="009E6A51">
              <w:rPr>
                <w:rFonts w:ascii="Source Sans Pro Light" w:hAnsi="Source Sans Pro Light"/>
                <w:sz w:val="22"/>
                <w:szCs w:val="22"/>
              </w:rPr>
              <w:t>,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set parking brake and remove the key. </w:t>
            </w:r>
          </w:p>
          <w:p w14:paraId="0E9BBF1A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Only operate the electric box dump from the driver’s seat.</w:t>
            </w:r>
          </w:p>
          <w:p w14:paraId="07FEFD80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Do not operate dump while driving vehicle.  </w:t>
            </w:r>
          </w:p>
          <w:p w14:paraId="5C4FBBB0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Vehicle should only be operated after dark if it is equipped with adequate lights.</w:t>
            </w:r>
          </w:p>
          <w:p w14:paraId="147D5FAC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Avoid sudden starts, stops or turns. </w:t>
            </w:r>
          </w:p>
          <w:p w14:paraId="37325E54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Avoid crossing water whenever possible.  Only cross a body of water where you know the dept is below the maximum depth allowed in the owner’s manual. </w:t>
            </w:r>
          </w:p>
          <w:p w14:paraId="6013B0A1" w14:textId="28CC0D99" w:rsidR="0085462E" w:rsidRPr="009E6A51" w:rsidRDefault="0085462E" w:rsidP="0085462E">
            <w:pPr>
              <w:pStyle w:val="ListParagrap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5462E" w:rsidRPr="009E6A51" w14:paraId="27A563AC" w14:textId="386E9417" w:rsidTr="0085462E">
        <w:tc>
          <w:tcPr>
            <w:tcW w:w="3397" w:type="dxa"/>
          </w:tcPr>
          <w:p w14:paraId="0C6206A3" w14:textId="77777777" w:rsidR="0085462E" w:rsidRPr="009E6A51" w:rsidRDefault="0085462E" w:rsidP="0085462E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9E6A51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lastRenderedPageBreak/>
              <w:t>Emergency Procedures:</w:t>
            </w:r>
          </w:p>
        </w:tc>
        <w:tc>
          <w:tcPr>
            <w:tcW w:w="5953" w:type="dxa"/>
          </w:tcPr>
          <w:p w14:paraId="62B8E96B" w14:textId="77777777" w:rsidR="0085462E" w:rsidRPr="009E6A51" w:rsidRDefault="0085462E" w:rsidP="0085462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your supervisor immediately.  Remove yourself from harm’s way and ensure no one else is at risk.  </w:t>
            </w:r>
          </w:p>
          <w:p w14:paraId="0533FE84" w14:textId="22599BC0" w:rsidR="0085462E" w:rsidRPr="009E6A51" w:rsidRDefault="0085462E" w:rsidP="0085462E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</w:tbl>
    <w:p w14:paraId="0562ADDF" w14:textId="77777777" w:rsidR="00875EA5" w:rsidRPr="009E6A51" w:rsidRDefault="00875EA5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72370E34" w14:textId="4528CD16" w:rsidR="00EE19BD" w:rsidRPr="009E6A51" w:rsidRDefault="00EE19BD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4950A9EC" w14:textId="36938FE9" w:rsidR="00EE19BD" w:rsidRPr="009E6A51" w:rsidRDefault="00EE19BD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5604BAEE" w14:textId="0E841BC6" w:rsidR="00EE19BD" w:rsidRPr="009E6A51" w:rsidRDefault="00EE19BD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7D2A3033" w14:textId="453BC510" w:rsidR="00EE19BD" w:rsidRPr="009E6A51" w:rsidRDefault="00EE19BD">
      <w:pPr>
        <w:spacing w:after="200" w:line="276" w:lineRule="auto"/>
        <w:rPr>
          <w:rFonts w:ascii="Source Sans Pro Light" w:hAnsi="Source Sans Pro Light"/>
          <w:smallCaps/>
          <w:sz w:val="22"/>
          <w:szCs w:val="22"/>
        </w:rPr>
      </w:pPr>
    </w:p>
    <w:sectPr w:rsidR="00EE19BD" w:rsidRPr="009E6A51" w:rsidSect="00984C04">
      <w:headerReference w:type="default" r:id="rId7"/>
      <w:footerReference w:type="default" r:id="rId8"/>
      <w:pgSz w:w="12240" w:h="15840"/>
      <w:pgMar w:top="1440" w:right="1440" w:bottom="1440" w:left="144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B4F7" w14:textId="77777777" w:rsidR="00A01458" w:rsidRDefault="00A01458" w:rsidP="00FF42F5">
      <w:pPr>
        <w:spacing w:line="240" w:lineRule="auto"/>
      </w:pPr>
      <w:r>
        <w:separator/>
      </w:r>
    </w:p>
  </w:endnote>
  <w:endnote w:type="continuationSeparator" w:id="0">
    <w:p w14:paraId="35ED54E3" w14:textId="77777777" w:rsidR="00A01458" w:rsidRDefault="00A01458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631A" w14:textId="77777777" w:rsidR="00783E21" w:rsidRDefault="00783E21" w:rsidP="00783E21">
    <w:pPr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6AB7C32B" w14:textId="77777777" w:rsidR="00783E21" w:rsidRDefault="00783E21" w:rsidP="00783E21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7C4F18C4" w14:textId="2D411DDD" w:rsidR="00984C04" w:rsidRPr="00783E21" w:rsidRDefault="00783E21" w:rsidP="00783E21">
    <w:pPr>
      <w:pStyle w:val="Footer"/>
      <w:jc w:val="both"/>
      <w:rPr>
        <w:rFonts w:ascii="Source Sans Pro Light" w:eastAsia="Times New Roman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8783" w14:textId="77777777" w:rsidR="00A01458" w:rsidRDefault="00A01458" w:rsidP="00FF42F5">
      <w:pPr>
        <w:spacing w:line="240" w:lineRule="auto"/>
      </w:pPr>
      <w:r>
        <w:separator/>
      </w:r>
    </w:p>
  </w:footnote>
  <w:footnote w:type="continuationSeparator" w:id="0">
    <w:p w14:paraId="18F3B2FD" w14:textId="77777777" w:rsidR="00A01458" w:rsidRDefault="00A01458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6E8A" w14:textId="77777777" w:rsidR="00984C04" w:rsidRPr="009E6A51" w:rsidRDefault="00984C04" w:rsidP="00984C04">
    <w:pPr>
      <w:pStyle w:val="Header"/>
      <w:jc w:val="center"/>
      <w:rPr>
        <w:rFonts w:ascii="Source Sans Pro Light" w:hAnsi="Source Sans Pro Light"/>
        <w:b/>
        <w:bCs/>
        <w:smallCaps/>
        <w:sz w:val="32"/>
        <w:szCs w:val="32"/>
      </w:rPr>
    </w:pPr>
    <w:r w:rsidRPr="009E6A51">
      <w:rPr>
        <w:rFonts w:ascii="Source Sans Pro Light" w:hAnsi="Source Sans Pro Light"/>
        <w:b/>
        <w:bCs/>
        <w:smallCaps/>
        <w:sz w:val="32"/>
        <w:szCs w:val="32"/>
      </w:rPr>
      <w:t>Side-By-Side Safe Work Practice</w:t>
    </w:r>
  </w:p>
  <w:p w14:paraId="6408458B" w14:textId="29A65E8F" w:rsidR="00EE19BD" w:rsidRPr="00984C04" w:rsidRDefault="00EE19BD" w:rsidP="00EE19BD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DC1"/>
    <w:multiLevelType w:val="hybridMultilevel"/>
    <w:tmpl w:val="F8E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175"/>
    <w:multiLevelType w:val="hybridMultilevel"/>
    <w:tmpl w:val="B12C7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1EF2"/>
    <w:multiLevelType w:val="hybridMultilevel"/>
    <w:tmpl w:val="F8E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0A56"/>
    <w:multiLevelType w:val="hybridMultilevel"/>
    <w:tmpl w:val="54EEC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41D1"/>
    <w:multiLevelType w:val="hybridMultilevel"/>
    <w:tmpl w:val="D256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0657B"/>
    <w:multiLevelType w:val="hybridMultilevel"/>
    <w:tmpl w:val="7520B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21"/>
    <w:rsid w:val="00036980"/>
    <w:rsid w:val="00061E30"/>
    <w:rsid w:val="0009281E"/>
    <w:rsid w:val="00093272"/>
    <w:rsid w:val="000D1AC5"/>
    <w:rsid w:val="001E27FF"/>
    <w:rsid w:val="002634CC"/>
    <w:rsid w:val="003973BC"/>
    <w:rsid w:val="00425357"/>
    <w:rsid w:val="00434A49"/>
    <w:rsid w:val="004658D4"/>
    <w:rsid w:val="004A798E"/>
    <w:rsid w:val="004B7B5D"/>
    <w:rsid w:val="0052122B"/>
    <w:rsid w:val="00581A21"/>
    <w:rsid w:val="005B5682"/>
    <w:rsid w:val="00610790"/>
    <w:rsid w:val="00682DC7"/>
    <w:rsid w:val="006C43AC"/>
    <w:rsid w:val="00783E21"/>
    <w:rsid w:val="00784D38"/>
    <w:rsid w:val="007E3C1A"/>
    <w:rsid w:val="007F3EC1"/>
    <w:rsid w:val="0085462E"/>
    <w:rsid w:val="00856E6B"/>
    <w:rsid w:val="008732EB"/>
    <w:rsid w:val="00875EA5"/>
    <w:rsid w:val="00881FAD"/>
    <w:rsid w:val="008A05DA"/>
    <w:rsid w:val="008B36A6"/>
    <w:rsid w:val="008F0D13"/>
    <w:rsid w:val="00950AAC"/>
    <w:rsid w:val="00980125"/>
    <w:rsid w:val="00984C04"/>
    <w:rsid w:val="009E6357"/>
    <w:rsid w:val="009E6A51"/>
    <w:rsid w:val="009F3E64"/>
    <w:rsid w:val="00A01458"/>
    <w:rsid w:val="00A76074"/>
    <w:rsid w:val="00B315F3"/>
    <w:rsid w:val="00BC3D02"/>
    <w:rsid w:val="00C013E9"/>
    <w:rsid w:val="00C17862"/>
    <w:rsid w:val="00C33F76"/>
    <w:rsid w:val="00C75C75"/>
    <w:rsid w:val="00C77734"/>
    <w:rsid w:val="00C77BD3"/>
    <w:rsid w:val="00CA4CB6"/>
    <w:rsid w:val="00CB08B6"/>
    <w:rsid w:val="00CF4CE7"/>
    <w:rsid w:val="00CF7DC4"/>
    <w:rsid w:val="00D24058"/>
    <w:rsid w:val="00D329DD"/>
    <w:rsid w:val="00D3424F"/>
    <w:rsid w:val="00DE6CAF"/>
    <w:rsid w:val="00E24D21"/>
    <w:rsid w:val="00E52A36"/>
    <w:rsid w:val="00E900AF"/>
    <w:rsid w:val="00EE19BD"/>
    <w:rsid w:val="00EE6F6C"/>
    <w:rsid w:val="00F0709D"/>
    <w:rsid w:val="00F71A69"/>
    <w:rsid w:val="00FA39B9"/>
    <w:rsid w:val="00FC43CD"/>
    <w:rsid w:val="00FE6F13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ADA6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F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1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1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cvandenheuvel</dc:creator>
  <cp:lastModifiedBy>Lori Brookhouse</cp:lastModifiedBy>
  <cp:revision>15</cp:revision>
  <cp:lastPrinted>2013-11-12T14:41:00Z</cp:lastPrinted>
  <dcterms:created xsi:type="dcterms:W3CDTF">2018-09-07T16:20:00Z</dcterms:created>
  <dcterms:modified xsi:type="dcterms:W3CDTF">2019-07-29T19:20:00Z</dcterms:modified>
</cp:coreProperties>
</file>